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_Hlt450066085"/>
      <w:bookmarkEnd w:id="0"/>
      <w:bookmarkStart w:id="1" w:name="_Hlt450051172"/>
      <w:bookmarkEnd w:id="1"/>
      <w:bookmarkStart w:id="2" w:name="_Hlt450066087"/>
      <w:bookmarkEnd w:id="2"/>
      <w:bookmarkStart w:id="3" w:name="_Hlt450039480"/>
      <w:bookmarkEnd w:id="3"/>
      <w:bookmarkStart w:id="4" w:name="_Hlt449016246"/>
      <w:bookmarkEnd w:id="4"/>
      <w:bookmarkStart w:id="5" w:name="_Hlt448930105"/>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418361</w:t>
      </w:r>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6"/>
      <w:bookmarkEnd w:id="7"/>
      <w:r>
        <w:rPr>
          <w:rStyle w:val="60"/>
          <w:rFonts w:hint="eastAsia"/>
          <w:b/>
          <w:highlight w:val="none"/>
          <w:lang w:val="en-US" w:eastAsia="zh-CN"/>
        </w:rPr>
        <w:t>system parameters for NTN less than 5MHz</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7.8.3.1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e</w:t>
      </w:r>
      <w:r>
        <w:rPr>
          <w:rFonts w:hint="default"/>
          <w:i w:val="0"/>
          <w:iCs w:val="0"/>
          <w:sz w:val="20"/>
          <w:szCs w:val="20"/>
          <w:lang w:val="en-US" w:eastAsia="zh-CN"/>
        </w:rPr>
        <w:t>nhanced requirements and conductive test methodology for NR NTN and IoT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less than 5MHz for NTN </w:t>
      </w:r>
      <w:r>
        <w:rPr>
          <w:rFonts w:hint="default"/>
          <w:i w:val="0"/>
          <w:iCs w:val="0"/>
          <w:sz w:val="20"/>
          <w:szCs w:val="20"/>
          <w:lang w:val="en-US" w:eastAsia="zh-CN"/>
        </w:rPr>
        <w:t>from system parameters perspective.</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overflowPunct w:val="0"/>
              <w:autoSpaceDE w:val="0"/>
              <w:autoSpaceDN w:val="0"/>
              <w:adjustRightInd w:val="0"/>
              <w:spacing w:after="180"/>
              <w:jc w:val="both"/>
              <w:textAlignment w:val="baseline"/>
              <w:rPr>
                <w:b/>
              </w:rPr>
            </w:pPr>
            <w:r>
              <w:rPr>
                <w:b/>
              </w:rPr>
              <w:t>Less than 5MHz for NTN</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system parameters for channel bandwidth of less than 5 MHz for NR-NTN (NR based Non-Terrestrial Networks) in FR1-NTN bands</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C</w:t>
            </w:r>
            <w:r>
              <w:rPr>
                <w:rFonts w:ascii="Times New Roman" w:hAnsi="Times New Roman" w:cs="Times New Roman"/>
                <w:sz w:val="20"/>
                <w:szCs w:val="20"/>
              </w:rPr>
              <w:t>onsider the NR-NTN bands n255, n256, and n254</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Add less than 5MHz channel bandwidth</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 3MHz with the RAN1 design in Rel-18</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Investigate and if necessary, specify the additional synchronization (sync) raster(s) for the additional channel bandwidth</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Leverage the work on less than 5MHz for TN</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Note: no RAN1 impact is expected</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SAN RF core requirements for NR-NTN in FR1-NTN bands</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NR-NTN UE RF core requirements for less than 5 MHz for NR-NTN in FR1-NTN bands</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Focus on power class 3 (PC3) for Tx RF requirements</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RRM core requirements for less than 5 MHz for NR-NTN in FR1-NTN bands</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p>
            <w:pPr>
              <w:pStyle w:val="34"/>
              <w:widowControl w:val="0"/>
              <w:numPr>
                <w:ilvl w:val="0"/>
                <w:numId w:val="0"/>
              </w:numPr>
              <w:overflowPunct w:val="0"/>
              <w:autoSpaceDE w:val="0"/>
              <w:autoSpaceDN w:val="0"/>
              <w:adjustRightInd w:val="0"/>
              <w:spacing w:after="0"/>
              <w:ind w:left="1080" w:leftChars="0"/>
              <w:jc w:val="both"/>
              <w:textAlignment w:val="baseline"/>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 xml:space="preserve">Issue 1-1: Whether 3MHz channel bandwidth </w:t>
            </w:r>
            <w:r>
              <w:rPr>
                <w:rFonts w:hint="eastAsia"/>
                <w:b/>
                <w:sz w:val="20"/>
                <w:szCs w:val="20"/>
                <w:u w:val="single"/>
                <w:lang w:eastAsia="ko-KR"/>
              </w:rPr>
              <w:t>for NR-NTN in FR1-NTN bands</w:t>
            </w:r>
            <w:r>
              <w:rPr>
                <w:b/>
                <w:sz w:val="20"/>
                <w:szCs w:val="20"/>
                <w:u w:val="single"/>
                <w:lang w:eastAsia="ko-KR"/>
              </w:rPr>
              <w:t xml:space="preserve"> is mandatory or optional?</w:t>
            </w:r>
          </w:p>
          <w:p>
            <w:pPr>
              <w:pStyle w:val="34"/>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Way forward:</w:t>
            </w:r>
          </w:p>
          <w:p>
            <w:pPr>
              <w:pStyle w:val="34"/>
              <w:numPr>
                <w:ilvl w:val="1"/>
                <w:numId w:val="9"/>
              </w:numPr>
              <w:overflowPunct/>
              <w:autoSpaceDE/>
              <w:autoSpaceDN/>
              <w:adjustRightInd/>
              <w:spacing w:after="240"/>
              <w:ind w:left="1434" w:hanging="357" w:firstLineChars="0"/>
              <w:textAlignment w:val="auto"/>
              <w:rPr>
                <w:rFonts w:eastAsia="宋体"/>
                <w:sz w:val="20"/>
                <w:szCs w:val="20"/>
                <w:lang w:eastAsia="zh-CN"/>
              </w:rPr>
            </w:pPr>
            <w:r>
              <w:rPr>
                <w:rFonts w:eastAsia="宋体"/>
                <w:sz w:val="20"/>
                <w:szCs w:val="20"/>
                <w:lang w:eastAsia="zh-CN"/>
              </w:rPr>
              <w:t>Option 1: Mandatory</w:t>
            </w:r>
          </w:p>
          <w:p>
            <w:pPr>
              <w:pStyle w:val="34"/>
              <w:numPr>
                <w:ilvl w:val="1"/>
                <w:numId w:val="9"/>
              </w:numPr>
              <w:overflowPunct/>
              <w:autoSpaceDE/>
              <w:autoSpaceDN/>
              <w:adjustRightInd/>
              <w:spacing w:after="240"/>
              <w:ind w:left="1434" w:hanging="357" w:firstLineChars="0"/>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ption 2: Optional</w:t>
            </w: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1-2: Clarification on maximum transmission</w:t>
            </w:r>
            <w:r>
              <w:rPr>
                <w:rFonts w:hint="eastAsia"/>
                <w:b/>
                <w:sz w:val="20"/>
                <w:szCs w:val="20"/>
                <w:u w:val="single"/>
                <w:lang w:eastAsia="ko-KR"/>
              </w:rPr>
              <w:t xml:space="preserve"> </w:t>
            </w:r>
            <w:r>
              <w:rPr>
                <w:b/>
                <w:sz w:val="20"/>
                <w:szCs w:val="20"/>
                <w:u w:val="single"/>
                <w:lang w:eastAsia="ko-KR"/>
              </w:rPr>
              <w:t>bandwidth</w:t>
            </w:r>
            <w:r>
              <w:rPr>
                <w:rFonts w:hint="eastAsia"/>
                <w:b/>
                <w:sz w:val="20"/>
                <w:szCs w:val="20"/>
                <w:u w:val="single"/>
                <w:lang w:eastAsia="ko-KR"/>
              </w:rPr>
              <w:t xml:space="preserve"> configuration</w:t>
            </w:r>
          </w:p>
          <w:p>
            <w:pPr>
              <w:pStyle w:val="34"/>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Agreement:</w:t>
            </w:r>
          </w:p>
          <w:p>
            <w:pPr>
              <w:pStyle w:val="34"/>
              <w:numPr>
                <w:ilvl w:val="1"/>
                <w:numId w:val="9"/>
              </w:numPr>
              <w:overflowPunct/>
              <w:autoSpaceDE/>
              <w:autoSpaceDN/>
              <w:adjustRightInd/>
              <w:spacing w:after="240"/>
              <w:ind w:left="1434" w:hanging="357" w:firstLineChars="0"/>
              <w:textAlignment w:val="auto"/>
              <w:rPr>
                <w:rFonts w:eastAsia="宋体"/>
                <w:sz w:val="20"/>
                <w:szCs w:val="20"/>
                <w:lang w:eastAsia="zh-CN"/>
              </w:rPr>
            </w:pPr>
            <w:r>
              <w:rPr>
                <w:rFonts w:eastAsia="宋体"/>
                <w:sz w:val="20"/>
                <w:szCs w:val="20"/>
                <w:lang w:eastAsia="zh-CN"/>
              </w:rPr>
              <w:t>Follow the previous agreement in WF R4-2413528 as:</w:t>
            </w:r>
          </w:p>
          <w:tbl>
            <w:tblPr>
              <w:tblStyle w:val="24"/>
              <w:tblW w:w="0" w:type="auto"/>
              <w:tblInd w:w="10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180"/>
                    <w:textAlignment w:val="baseline"/>
                    <w:rPr>
                      <w:rFonts w:eastAsia="Yu Mincho"/>
                      <w:b/>
                      <w:sz w:val="20"/>
                      <w:szCs w:val="20"/>
                      <w:u w:val="single"/>
                      <w:lang w:eastAsia="ko-KR"/>
                    </w:rPr>
                  </w:pPr>
                  <w:r>
                    <w:rPr>
                      <w:rFonts w:eastAsia="Yu Mincho"/>
                      <w:b/>
                      <w:sz w:val="20"/>
                      <w:szCs w:val="20"/>
                      <w:u w:val="single"/>
                      <w:lang w:eastAsia="ko-KR"/>
                    </w:rPr>
                    <w:t xml:space="preserve">Issue 1-1-3: </w:t>
                  </w:r>
                  <w:r>
                    <w:rPr>
                      <w:rFonts w:hint="eastAsia" w:eastAsia="Yu Mincho"/>
                      <w:b/>
                      <w:sz w:val="20"/>
                      <w:szCs w:val="20"/>
                      <w:u w:val="single"/>
                      <w:lang w:eastAsia="ko-KR"/>
                    </w:rPr>
                    <w:t xml:space="preserve">Maximum transmission </w:t>
                  </w:r>
                  <w:r>
                    <w:rPr>
                      <w:rFonts w:eastAsia="Yu Mincho"/>
                      <w:b/>
                      <w:sz w:val="20"/>
                      <w:szCs w:val="20"/>
                      <w:u w:val="single"/>
                      <w:lang w:eastAsia="ko-KR"/>
                    </w:rPr>
                    <w:t>bandwidth</w:t>
                  </w:r>
                  <w:r>
                    <w:rPr>
                      <w:rFonts w:hint="eastAsia" w:eastAsia="Yu Mincho"/>
                      <w:b/>
                      <w:sz w:val="20"/>
                      <w:szCs w:val="20"/>
                      <w:u w:val="single"/>
                      <w:lang w:eastAsia="ko-KR"/>
                    </w:rPr>
                    <w:t xml:space="preserve"> configuration</w:t>
                  </w:r>
                  <w:r>
                    <w:rPr>
                      <w:rFonts w:eastAsia="Yu Mincho"/>
                      <w:b/>
                      <w:sz w:val="20"/>
                      <w:szCs w:val="20"/>
                      <w:u w:val="single"/>
                      <w:lang w:eastAsia="ko-KR"/>
                    </w:rPr>
                    <w:t>(</w:t>
                  </w:r>
                  <w:r>
                    <w:rPr>
                      <w:rFonts w:eastAsia="Yu Mincho"/>
                      <w:b/>
                      <w:bCs/>
                      <w:sz w:val="20"/>
                      <w:szCs w:val="20"/>
                      <w:u w:val="single"/>
                    </w:rPr>
                    <w:t>N</w:t>
                  </w:r>
                  <w:r>
                    <w:rPr>
                      <w:rFonts w:eastAsia="Yu Mincho"/>
                      <w:b/>
                      <w:bCs/>
                      <w:sz w:val="20"/>
                      <w:szCs w:val="20"/>
                      <w:u w:val="single"/>
                      <w:vertAlign w:val="subscript"/>
                    </w:rPr>
                    <w:t>RB</w:t>
                  </w:r>
                  <w:r>
                    <w:rPr>
                      <w:rFonts w:eastAsia="Yu Mincho"/>
                      <w:b/>
                      <w:sz w:val="20"/>
                      <w:szCs w:val="20"/>
                      <w:u w:val="single"/>
                      <w:lang w:eastAsia="ko-KR"/>
                    </w:rPr>
                    <w:t>)</w:t>
                  </w:r>
                </w:p>
                <w:p>
                  <w:pPr>
                    <w:pStyle w:val="34"/>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Agreement</w:t>
                  </w:r>
                </w:p>
                <w:p>
                  <w:pPr>
                    <w:pStyle w:val="34"/>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 xml:space="preserve">Reuse 15 RBs for </w:t>
                  </w:r>
                  <w:r>
                    <w:rPr>
                      <w:sz w:val="20"/>
                      <w:szCs w:val="20"/>
                      <w:lang w:val="en-US"/>
                    </w:rPr>
                    <w:t>3MHz channel bandwidth with 15kHz SCS for NR NTN.</w:t>
                  </w:r>
                </w:p>
              </w:tc>
            </w:tr>
          </w:tbl>
          <w:p>
            <w:pPr>
              <w:overflowPunct w:val="0"/>
              <w:autoSpaceDE w:val="0"/>
              <w:autoSpaceDN w:val="0"/>
              <w:adjustRightInd w:val="0"/>
              <w:spacing w:after="240"/>
              <w:ind w:left="1077"/>
              <w:textAlignment w:val="baseline"/>
              <w:rPr>
                <w:sz w:val="20"/>
                <w:szCs w:val="20"/>
                <w:lang w:eastAsia="zh-CN"/>
              </w:rPr>
            </w:pP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 xml:space="preserve">Issue 1-3: Signalling of </w:t>
            </w:r>
            <w:r>
              <w:rPr>
                <w:rFonts w:hint="eastAsia"/>
                <w:b/>
                <w:sz w:val="20"/>
                <w:szCs w:val="20"/>
                <w:u w:val="single"/>
                <w:lang w:eastAsia="ko-KR"/>
              </w:rPr>
              <w:t>S</w:t>
            </w:r>
            <w:r>
              <w:rPr>
                <w:b/>
                <w:sz w:val="20"/>
                <w:szCs w:val="20"/>
                <w:u w:val="single"/>
                <w:lang w:eastAsia="ko-KR"/>
              </w:rPr>
              <w:t>S</w:t>
            </w:r>
            <w:r>
              <w:rPr>
                <w:rFonts w:hint="eastAsia"/>
                <w:b/>
                <w:sz w:val="20"/>
                <w:szCs w:val="20"/>
                <w:u w:val="single"/>
                <w:lang w:eastAsia="ko-KR"/>
              </w:rPr>
              <w:t xml:space="preserve"> </w:t>
            </w:r>
            <w:r>
              <w:rPr>
                <w:b/>
                <w:sz w:val="20"/>
                <w:szCs w:val="20"/>
                <w:u w:val="single"/>
                <w:lang w:eastAsia="ko-KR"/>
              </w:rPr>
              <w:t>r</w:t>
            </w:r>
            <w:r>
              <w:rPr>
                <w:rFonts w:hint="eastAsia"/>
                <w:b/>
                <w:sz w:val="20"/>
                <w:szCs w:val="20"/>
                <w:u w:val="single"/>
                <w:lang w:eastAsia="ko-KR"/>
              </w:rPr>
              <w:t>aster</w:t>
            </w:r>
          </w:p>
          <w:p>
            <w:pPr>
              <w:pStyle w:val="34"/>
              <w:numPr>
                <w:ilvl w:val="0"/>
                <w:numId w:val="9"/>
              </w:numPr>
              <w:overflowPunct/>
              <w:autoSpaceDE/>
              <w:autoSpaceDN/>
              <w:adjustRightInd/>
              <w:spacing w:after="120"/>
              <w:ind w:left="720" w:firstLineChars="0"/>
              <w:textAlignment w:val="auto"/>
              <w:rPr>
                <w:rFonts w:eastAsia="宋体"/>
                <w:sz w:val="20"/>
                <w:szCs w:val="20"/>
                <w:lang w:eastAsia="zh-CN"/>
              </w:rPr>
            </w:pPr>
            <w:bookmarkStart w:id="8" w:name="OLE_LINK3"/>
            <w:r>
              <w:rPr>
                <w:rFonts w:eastAsia="宋体"/>
                <w:sz w:val="20"/>
                <w:szCs w:val="20"/>
                <w:lang w:eastAsia="zh-CN"/>
              </w:rPr>
              <w:t>Way forward:</w:t>
            </w:r>
          </w:p>
          <w:p>
            <w:pPr>
              <w:pStyle w:val="34"/>
              <w:numPr>
                <w:ilvl w:val="1"/>
                <w:numId w:val="9"/>
              </w:numPr>
              <w:overflowPunct/>
              <w:autoSpaceDE/>
              <w:autoSpaceDN/>
              <w:adjustRightInd/>
              <w:spacing w:after="240"/>
              <w:ind w:left="1434" w:hanging="357" w:firstLineChars="0"/>
              <w:textAlignment w:val="auto"/>
              <w:rPr>
                <w:rFonts w:eastAsia="宋体"/>
                <w:sz w:val="20"/>
                <w:szCs w:val="20"/>
                <w:lang w:eastAsia="zh-CN"/>
              </w:rPr>
            </w:pPr>
            <w:r>
              <w:rPr>
                <w:rFonts w:eastAsia="宋体"/>
                <w:sz w:val="20"/>
                <w:szCs w:val="20"/>
                <w:lang w:eastAsia="zh-CN"/>
              </w:rPr>
              <w:t>Option 1:</w:t>
            </w:r>
            <w:r>
              <w:rPr>
                <w:rFonts w:hint="eastAsia" w:eastAsia="宋体"/>
                <w:sz w:val="20"/>
                <w:szCs w:val="20"/>
                <w:lang w:eastAsia="zh-CN"/>
              </w:rPr>
              <w:t xml:space="preserve"> </w:t>
            </w:r>
            <w:bookmarkEnd w:id="8"/>
            <w:r>
              <w:rPr>
                <w:rFonts w:hint="eastAsia" w:eastAsia="宋体"/>
                <w:sz w:val="20"/>
                <w:szCs w:val="20"/>
                <w:lang w:eastAsia="zh-CN"/>
              </w:rPr>
              <w:t xml:space="preserve">The exiting signalling of support3MHz-ChannelBW-Symmetric-r18 and support3MHz-ChannelBW-Asymmetric-r18 are reused for NTN operations. </w:t>
            </w:r>
          </w:p>
          <w:p>
            <w:pPr>
              <w:pStyle w:val="34"/>
              <w:numPr>
                <w:ilvl w:val="1"/>
                <w:numId w:val="9"/>
              </w:numPr>
              <w:overflowPunct/>
              <w:autoSpaceDE/>
              <w:autoSpaceDN/>
              <w:adjustRightInd/>
              <w:spacing w:after="240"/>
              <w:ind w:left="1434" w:hanging="357" w:firstLineChars="0"/>
              <w:textAlignment w:val="auto"/>
              <w:rPr>
                <w:rFonts w:eastAsia="宋体"/>
                <w:sz w:val="20"/>
                <w:szCs w:val="20"/>
                <w:lang w:eastAsia="zh-CN"/>
              </w:rPr>
            </w:pPr>
            <w:bookmarkStart w:id="9" w:name="OLE_LINK4"/>
            <w:r>
              <w:rPr>
                <w:rFonts w:eastAsia="宋体"/>
                <w:sz w:val="20"/>
                <w:szCs w:val="20"/>
                <w:lang w:eastAsia="zh-CN"/>
              </w:rPr>
              <w:t xml:space="preserve">Option </w:t>
            </w:r>
            <w:r>
              <w:rPr>
                <w:rFonts w:hint="eastAsia" w:eastAsia="宋体"/>
                <w:sz w:val="20"/>
                <w:szCs w:val="20"/>
                <w:lang w:eastAsia="zh-CN"/>
              </w:rPr>
              <w:t>2</w:t>
            </w:r>
            <w:r>
              <w:rPr>
                <w:rFonts w:eastAsia="宋体"/>
                <w:sz w:val="20"/>
                <w:szCs w:val="20"/>
                <w:lang w:eastAsia="zh-CN"/>
              </w:rPr>
              <w:t>:</w:t>
            </w:r>
            <w:r>
              <w:rPr>
                <w:rFonts w:hint="eastAsia" w:eastAsia="宋体"/>
                <w:sz w:val="20"/>
                <w:szCs w:val="20"/>
                <w:lang w:eastAsia="zh-CN"/>
              </w:rPr>
              <w:t xml:space="preserve"> </w:t>
            </w:r>
            <w:bookmarkEnd w:id="9"/>
            <w:r>
              <w:rPr>
                <w:rFonts w:hint="eastAsia" w:eastAsia="宋体"/>
                <w:sz w:val="20"/>
                <w:szCs w:val="20"/>
                <w:lang w:eastAsia="zh-CN"/>
              </w:rPr>
              <w:t xml:space="preserve">Defer the UE capability discussion for 3MHz in FR1-NTN after all the requirements are clear. </w:t>
            </w:r>
          </w:p>
          <w:p>
            <w:pPr>
              <w:pStyle w:val="34"/>
              <w:numPr>
                <w:ilvl w:val="1"/>
                <w:numId w:val="9"/>
              </w:numPr>
              <w:overflowPunct/>
              <w:autoSpaceDE/>
              <w:autoSpaceDN/>
              <w:adjustRightInd/>
              <w:spacing w:after="240"/>
              <w:ind w:left="1434" w:hanging="357" w:firstLineChars="0"/>
              <w:textAlignment w:val="auto"/>
              <w:rPr>
                <w:rFonts w:hint="eastAsia"/>
                <w:sz w:val="20"/>
                <w:szCs w:val="20"/>
                <w:vertAlign w:val="baseline"/>
                <w:lang w:val="en-US" w:eastAsia="zh-CN"/>
              </w:rPr>
            </w:pPr>
            <w:r>
              <w:rPr>
                <w:rFonts w:eastAsia="宋体"/>
                <w:sz w:val="20"/>
                <w:szCs w:val="20"/>
                <w:lang w:eastAsia="zh-CN"/>
              </w:rPr>
              <w:t xml:space="preserve">Option </w:t>
            </w:r>
            <w:r>
              <w:rPr>
                <w:rFonts w:hint="eastAsia" w:eastAsia="宋体"/>
                <w:sz w:val="20"/>
                <w:szCs w:val="20"/>
                <w:lang w:eastAsia="zh-CN"/>
              </w:rPr>
              <w:t>3</w:t>
            </w:r>
            <w:r>
              <w:rPr>
                <w:rFonts w:eastAsia="宋体"/>
                <w:sz w:val="20"/>
                <w:szCs w:val="20"/>
                <w:lang w:eastAsia="zh-CN"/>
              </w:rPr>
              <w:t>:</w:t>
            </w:r>
            <w:r>
              <w:rPr>
                <w:rFonts w:hint="eastAsia" w:eastAsia="宋体"/>
                <w:sz w:val="20"/>
                <w:szCs w:val="20"/>
                <w:lang w:eastAsia="zh-CN"/>
              </w:rPr>
              <w:t xml:space="preserve"> Synchronization raster shall not be signaled for 3MHz channel bandwidth for NR-NTN. </w:t>
            </w:r>
          </w:p>
        </w:tc>
      </w:tr>
    </w:tbl>
    <w:p>
      <w:pPr>
        <w:bidi w:val="0"/>
        <w:jc w:val="both"/>
        <w:rPr>
          <w:rFonts w:hint="eastAsia"/>
          <w:sz w:val="20"/>
          <w:szCs w:val="18"/>
          <w:lang w:val="en-US" w:eastAsia="zh-CN"/>
        </w:rPr>
      </w:pPr>
      <w:r>
        <w:rPr>
          <w:rFonts w:hint="eastAsia"/>
          <w:sz w:val="20"/>
          <w:szCs w:val="18"/>
          <w:lang w:val="en-US" w:eastAsia="zh-CN"/>
        </w:rPr>
        <w:t>The above are agreements and way forward in last meeting. The remaining issue are whether 3MHz channel bandwidth is optional or mandatory for NR-NTN and whether signalling introduced for NR less than 5MHz in Rel-18 can be reused. For the first remaining issue, the UE capability of supporting 3MHz channel bandwidth introduced in Rel-18 is per band and optional. However, it can be mandatory from Rel-19 based on operators</w:t>
      </w:r>
      <w:r>
        <w:rPr>
          <w:rFonts w:hint="default"/>
          <w:sz w:val="20"/>
          <w:szCs w:val="18"/>
          <w:lang w:val="en-US" w:eastAsia="zh-CN"/>
        </w:rPr>
        <w:t>’</w:t>
      </w:r>
      <w:r>
        <w:rPr>
          <w:rFonts w:hint="eastAsia"/>
          <w:sz w:val="20"/>
          <w:szCs w:val="18"/>
          <w:lang w:val="en-US" w:eastAsia="zh-CN"/>
        </w:rPr>
        <w:t xml:space="preserve"> need.</w:t>
      </w:r>
    </w:p>
    <w:p>
      <w:pPr>
        <w:rPr>
          <w:rFonts w:hint="default"/>
          <w:sz w:val="20"/>
          <w:szCs w:val="18"/>
          <w:lang w:val="en-US" w:eastAsia="zh-CN"/>
        </w:rPr>
      </w:pPr>
      <w:bookmarkStart w:id="10" w:name="OLE_LINK23"/>
      <w:bookmarkStart w:id="11" w:name="OLE_LINK50"/>
      <w:bookmarkStart w:id="12" w:name="OLE_LINK66"/>
      <w:r>
        <w:rPr>
          <w:rFonts w:hint="eastAsia"/>
          <w:b/>
          <w:bCs/>
          <w:i w:val="0"/>
          <w:iCs w:val="0"/>
          <w:sz w:val="20"/>
          <w:szCs w:val="20"/>
          <w:lang w:val="en-US" w:eastAsia="zh-CN"/>
        </w:rPr>
        <w:t xml:space="preserve">Proposal 1: </w:t>
      </w:r>
      <w:bookmarkEnd w:id="10"/>
      <w:bookmarkEnd w:id="11"/>
      <w:bookmarkEnd w:id="12"/>
      <w:r>
        <w:rPr>
          <w:rFonts w:hint="eastAsia"/>
          <w:b/>
          <w:bCs/>
          <w:i w:val="0"/>
          <w:iCs w:val="0"/>
          <w:sz w:val="20"/>
          <w:szCs w:val="20"/>
          <w:lang w:val="en-US" w:eastAsia="zh-CN"/>
        </w:rPr>
        <w:t>3MHz channel bandwidth can be mandatory from Rel-19 based on operators</w:t>
      </w:r>
      <w:r>
        <w:rPr>
          <w:rFonts w:hint="default"/>
          <w:b/>
          <w:bCs/>
          <w:i w:val="0"/>
          <w:iCs w:val="0"/>
          <w:sz w:val="20"/>
          <w:szCs w:val="20"/>
          <w:lang w:val="en-US" w:eastAsia="zh-CN"/>
        </w:rPr>
        <w:t>’</w:t>
      </w:r>
      <w:r>
        <w:rPr>
          <w:rFonts w:hint="eastAsia"/>
          <w:b/>
          <w:bCs/>
          <w:i w:val="0"/>
          <w:iCs w:val="0"/>
          <w:sz w:val="20"/>
          <w:szCs w:val="20"/>
          <w:lang w:val="en-US" w:eastAsia="zh-CN"/>
        </w:rPr>
        <w:t xml:space="preserve"> need.</w:t>
      </w:r>
    </w:p>
    <w:p>
      <w:pPr>
        <w:bidi w:val="0"/>
        <w:jc w:val="both"/>
        <w:rPr>
          <w:rFonts w:hint="eastAsia"/>
          <w:sz w:val="20"/>
          <w:szCs w:val="18"/>
          <w:lang w:val="en-US" w:eastAsia="zh-CN"/>
        </w:rPr>
      </w:pPr>
      <w:r>
        <w:rPr>
          <w:rFonts w:hint="eastAsia"/>
          <w:sz w:val="20"/>
          <w:szCs w:val="18"/>
          <w:lang w:val="en-US" w:eastAsia="zh-CN"/>
        </w:rPr>
        <w:t xml:space="preserve">The following are signallings introduced for NR less than 5MHz in Rel-18. The former three features are all per band and optional with capability signaling. The latter two features are per UE, which are defined specially for band n100. From our understanding, there is no corner use case of 12 RB and 20 RB transmission bandwidth, so there is no need to support the latter two features in NR-NTN. Considering </w:t>
      </w:r>
      <w:r>
        <w:rPr>
          <w:rFonts w:hint="default"/>
          <w:sz w:val="20"/>
          <w:szCs w:val="18"/>
          <w:lang w:val="en-US" w:eastAsia="zh-CN"/>
        </w:rPr>
        <w:t>“</w:t>
      </w:r>
      <w:r>
        <w:rPr>
          <w:rFonts w:hint="eastAsia"/>
          <w:sz w:val="20"/>
          <w:szCs w:val="18"/>
          <w:lang w:val="en-US" w:eastAsia="zh-CN"/>
        </w:rPr>
        <w:t>a</w:t>
      </w:r>
      <w:r>
        <w:rPr>
          <w:rFonts w:hint="default"/>
          <w:sz w:val="20"/>
          <w:szCs w:val="18"/>
          <w:lang w:val="en-US" w:eastAsia="zh-CN"/>
        </w:rPr>
        <w:t>dd less than 5MHz channel bandwidt</w:t>
      </w:r>
      <w:r>
        <w:rPr>
          <w:rFonts w:hint="eastAsia"/>
          <w:sz w:val="20"/>
          <w:szCs w:val="18"/>
          <w:lang w:val="en-US" w:eastAsia="zh-CN"/>
        </w:rPr>
        <w:t>h,</w:t>
      </w:r>
      <w:r>
        <w:rPr>
          <w:rFonts w:hint="default"/>
          <w:sz w:val="20"/>
          <w:szCs w:val="18"/>
          <w:lang w:val="en-US" w:eastAsia="zh-CN"/>
        </w:rPr>
        <w:t xml:space="preserve"> 3MHz with the RAN1 design in Rel-18”</w:t>
      </w:r>
      <w:r>
        <w:rPr>
          <w:rFonts w:hint="eastAsia"/>
          <w:sz w:val="20"/>
          <w:szCs w:val="18"/>
          <w:lang w:val="en-US" w:eastAsia="zh-CN"/>
        </w:rPr>
        <w:t xml:space="preserve"> in the objective and operators</w:t>
      </w:r>
      <w:r>
        <w:rPr>
          <w:rFonts w:hint="default"/>
          <w:sz w:val="20"/>
          <w:szCs w:val="18"/>
          <w:lang w:val="en-US" w:eastAsia="zh-CN"/>
        </w:rPr>
        <w:t>’</w:t>
      </w:r>
      <w:r>
        <w:rPr>
          <w:rFonts w:hint="eastAsia"/>
          <w:sz w:val="20"/>
          <w:szCs w:val="18"/>
          <w:lang w:val="en-US" w:eastAsia="zh-CN"/>
        </w:rPr>
        <w:t xml:space="preserve"> needs, the existing signallings of </w:t>
      </w:r>
      <w:r>
        <w:rPr>
          <w:rFonts w:hint="eastAsia"/>
          <w:i/>
          <w:iCs/>
          <w:sz w:val="20"/>
          <w:szCs w:val="18"/>
          <w:lang w:val="en-US" w:eastAsia="zh-CN"/>
        </w:rPr>
        <w:t>support12PRB-CORESET0-r18</w:t>
      </w:r>
      <w:r>
        <w:rPr>
          <w:rFonts w:hint="eastAsia"/>
          <w:sz w:val="20"/>
          <w:szCs w:val="18"/>
          <w:lang w:val="en-US" w:eastAsia="zh-CN"/>
        </w:rPr>
        <w:t xml:space="preserve">, </w:t>
      </w:r>
      <w:r>
        <w:rPr>
          <w:rFonts w:hint="eastAsia"/>
          <w:i/>
          <w:iCs/>
          <w:sz w:val="20"/>
          <w:szCs w:val="18"/>
          <w:lang w:val="en-US" w:eastAsia="zh-CN"/>
        </w:rPr>
        <w:t>support3MHz-ChannelBW-Asymmetric-r18</w:t>
      </w:r>
      <w:r>
        <w:rPr>
          <w:rFonts w:hint="eastAsia"/>
          <w:sz w:val="20"/>
          <w:szCs w:val="18"/>
          <w:lang w:val="en-US" w:eastAsia="zh-CN"/>
        </w:rPr>
        <w:t xml:space="preserve"> and </w:t>
      </w:r>
      <w:r>
        <w:rPr>
          <w:rFonts w:hint="eastAsia"/>
          <w:i/>
          <w:iCs/>
          <w:sz w:val="20"/>
          <w:szCs w:val="18"/>
          <w:lang w:val="en-US" w:eastAsia="zh-CN"/>
        </w:rPr>
        <w:t>support3MHz-ChannelBW-Symmetric- r18</w:t>
      </w:r>
      <w:r>
        <w:rPr>
          <w:rFonts w:hint="eastAsia"/>
          <w:sz w:val="20"/>
          <w:szCs w:val="18"/>
          <w:lang w:val="en-US" w:eastAsia="zh-CN"/>
        </w:rPr>
        <w:t xml:space="preserve"> should be supported for NR-NTN. However, in current TS 38.331 spec, these signallings are only related to TS 38.101-1, thus, some updates are needed to these UE features.</w:t>
      </w:r>
    </w:p>
    <w:p>
      <w:pPr>
        <w:bidi w:val="0"/>
        <w:jc w:val="both"/>
        <w:rPr>
          <w:rFonts w:hint="eastAsia"/>
          <w:b/>
          <w:bCs/>
          <w:i w:val="0"/>
          <w:iCs w:val="0"/>
          <w:sz w:val="20"/>
          <w:szCs w:val="20"/>
          <w:lang w:val="en-US" w:eastAsia="zh-CN"/>
        </w:rPr>
      </w:pPr>
      <w:r>
        <w:rPr>
          <w:rFonts w:hint="eastAsia"/>
          <w:b/>
          <w:bCs/>
          <w:i w:val="0"/>
          <w:iCs w:val="0"/>
          <w:sz w:val="20"/>
          <w:szCs w:val="20"/>
          <w:lang w:val="en-US" w:eastAsia="zh-CN"/>
        </w:rPr>
        <w:t xml:space="preserve">Proposal 2: The existing signallings of </w:t>
      </w:r>
      <w:r>
        <w:rPr>
          <w:rFonts w:hint="eastAsia"/>
          <w:b/>
          <w:bCs/>
          <w:i/>
          <w:iCs/>
          <w:sz w:val="20"/>
          <w:szCs w:val="20"/>
          <w:lang w:val="en-US" w:eastAsia="zh-CN"/>
        </w:rPr>
        <w:t>support12PRB-CORESET0-r18</w:t>
      </w:r>
      <w:r>
        <w:rPr>
          <w:rFonts w:hint="eastAsia"/>
          <w:b/>
          <w:bCs/>
          <w:i w:val="0"/>
          <w:iCs w:val="0"/>
          <w:sz w:val="20"/>
          <w:szCs w:val="20"/>
          <w:lang w:val="en-US" w:eastAsia="zh-CN"/>
        </w:rPr>
        <w:t xml:space="preserve">, </w:t>
      </w:r>
      <w:r>
        <w:rPr>
          <w:rFonts w:hint="eastAsia"/>
          <w:b/>
          <w:bCs/>
          <w:i/>
          <w:iCs/>
          <w:sz w:val="20"/>
          <w:szCs w:val="20"/>
          <w:lang w:val="en-US" w:eastAsia="zh-CN"/>
        </w:rPr>
        <w:t>support3MHz-ChannelBW-Asymmetric-r18</w:t>
      </w:r>
      <w:r>
        <w:rPr>
          <w:rFonts w:hint="eastAsia"/>
          <w:b/>
          <w:bCs/>
          <w:i w:val="0"/>
          <w:iCs w:val="0"/>
          <w:sz w:val="20"/>
          <w:szCs w:val="20"/>
          <w:lang w:val="en-US" w:eastAsia="zh-CN"/>
        </w:rPr>
        <w:t xml:space="preserve"> and </w:t>
      </w:r>
      <w:r>
        <w:rPr>
          <w:rFonts w:hint="eastAsia"/>
          <w:b/>
          <w:bCs/>
          <w:i/>
          <w:iCs/>
          <w:sz w:val="20"/>
          <w:szCs w:val="20"/>
          <w:lang w:val="en-US" w:eastAsia="zh-CN"/>
        </w:rPr>
        <w:t>support3MHz-ChannelBW-Symmetric-r18</w:t>
      </w:r>
      <w:r>
        <w:rPr>
          <w:rFonts w:hint="eastAsia"/>
          <w:b/>
          <w:bCs/>
          <w:i w:val="0"/>
          <w:iCs w:val="0"/>
          <w:sz w:val="20"/>
          <w:szCs w:val="20"/>
          <w:lang w:val="en-US" w:eastAsia="zh-CN"/>
        </w:rPr>
        <w:t xml:space="preserve"> are reused for NR-NTN. </w:t>
      </w:r>
    </w:p>
    <w:p>
      <w:pPr>
        <w:bidi w:val="0"/>
        <w:jc w:val="both"/>
        <w:rPr>
          <w:rFonts w:hint="default"/>
          <w:sz w:val="20"/>
          <w:szCs w:val="18"/>
          <w:lang w:val="en-US" w:eastAsia="zh-CN"/>
        </w:rPr>
      </w:pPr>
      <w:r>
        <w:rPr>
          <w:rFonts w:hint="eastAsia"/>
          <w:b/>
          <w:bCs/>
          <w:i w:val="0"/>
          <w:iCs w:val="0"/>
          <w:sz w:val="20"/>
          <w:szCs w:val="20"/>
          <w:lang w:val="en-US" w:eastAsia="zh-CN"/>
        </w:rPr>
        <w:t>Proposal 3: In current TS 38.331 spec, these signallings for less than 5MHz channel bandwidth are only related to TS 38.101-1, thus, some updates are needed for</w:t>
      </w:r>
      <w:bookmarkStart w:id="13" w:name="_GoBack"/>
      <w:bookmarkEnd w:id="13"/>
      <w:r>
        <w:rPr>
          <w:rFonts w:hint="eastAsia"/>
          <w:b/>
          <w:bCs/>
          <w:i w:val="0"/>
          <w:iCs w:val="0"/>
          <w:sz w:val="20"/>
          <w:szCs w:val="20"/>
          <w:lang w:val="en-US" w:eastAsia="zh-CN"/>
        </w:rPr>
        <w:t xml:space="preserve"> these UE features.</w:t>
      </w:r>
    </w:p>
    <w:tbl>
      <w:tblPr>
        <w:tblStyle w:val="23"/>
        <w:tblW w:w="9694"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294"/>
        <w:gridCol w:w="850"/>
        <w:gridCol w:w="850"/>
        <w:gridCol w:w="850"/>
        <w:gridCol w:w="85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sz w:val="16"/>
                <w:szCs w:val="16"/>
              </w:rPr>
            </w:pPr>
            <w:r>
              <w:rPr>
                <w:rFonts w:cs="Arial"/>
                <w:szCs w:val="18"/>
              </w:rPr>
              <w:t>Definitions for parameters</w:t>
            </w:r>
          </w:p>
        </w:tc>
        <w:tc>
          <w:tcPr>
            <w:tcW w:w="850" w:type="dxa"/>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bCs/>
                <w:iCs/>
              </w:rPr>
            </w:pPr>
            <w:r>
              <w:rPr>
                <w:rFonts w:cs="Arial"/>
                <w:szCs w:val="18"/>
              </w:rPr>
              <w:t>Per</w:t>
            </w:r>
          </w:p>
        </w:tc>
        <w:tc>
          <w:tcPr>
            <w:tcW w:w="850" w:type="dxa"/>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bCs/>
                <w:iCs/>
              </w:rPr>
            </w:pPr>
            <w:r>
              <w:rPr>
                <w:rFonts w:cs="Arial"/>
                <w:szCs w:val="18"/>
              </w:rPr>
              <w:t>M</w:t>
            </w:r>
          </w:p>
        </w:tc>
        <w:tc>
          <w:tcPr>
            <w:tcW w:w="850" w:type="dxa"/>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18"/>
              </w:rPr>
            </w:pPr>
            <w:r>
              <w:rPr>
                <w:rFonts w:cs="Arial"/>
                <w:szCs w:val="18"/>
              </w:rPr>
              <w:t>FDD-</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bCs/>
                <w:iCs/>
              </w:rPr>
            </w:pPr>
            <w:r>
              <w:rPr>
                <w:rFonts w:cs="Arial"/>
                <w:szCs w:val="18"/>
              </w:rPr>
              <w:t>TDD DIFF</w:t>
            </w:r>
          </w:p>
        </w:tc>
        <w:tc>
          <w:tcPr>
            <w:tcW w:w="850" w:type="dxa"/>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FR1-</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FR2</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support12PRB-CORESET0-r18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Indicates whether the UE supports reception of 12 PRB CORESET0 </w:t>
            </w:r>
            <w:r>
              <w:rPr>
                <w:rFonts w:cs="Arial"/>
                <w:sz w:val="16"/>
                <w:szCs w:val="16"/>
              </w:rPr>
              <w:t xml:space="preserve">with an associated SS/PBCH block that is located according to </w:t>
            </w:r>
            <w:r>
              <w:rPr>
                <w:rFonts w:cs="Arial"/>
                <w:sz w:val="16"/>
                <w:szCs w:val="16"/>
                <w:highlight w:val="yellow"/>
              </w:rPr>
              <w:t>Table 5.4.3.1-2 in TS 38.101-1</w:t>
            </w:r>
            <w:r>
              <w:rPr>
                <w:rFonts w:cs="Arial"/>
                <w:sz w:val="16"/>
                <w:szCs w:val="16"/>
              </w:rPr>
              <w:t xml:space="preserve"> [2]</w:t>
            </w:r>
            <w:r>
              <w:rPr>
                <w:sz w:val="16"/>
                <w:szCs w:val="16"/>
              </w:rPr>
              <w:t>.</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A UE supporting this feature shall also indicate support of </w:t>
            </w:r>
            <w:r>
              <w:rPr>
                <w:i/>
                <w:iCs/>
                <w:sz w:val="16"/>
                <w:szCs w:val="16"/>
              </w:rPr>
              <w:t>support-3MHz-ChannelBW-Symmetric-r18</w:t>
            </w:r>
            <w:r>
              <w:rPr>
                <w:sz w:val="16"/>
                <w:szCs w:val="16"/>
              </w:rPr>
              <w:t>.</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This feature is supported for 15kHz SCS only.</w:t>
            </w:r>
          </w:p>
          <w:p>
            <w:pPr>
              <w:pStyle w:val="58"/>
              <w:pageBreakBefore w:val="0"/>
              <w:widowControl/>
              <w:kinsoku/>
              <w:wordWrap/>
              <w:overflowPunct/>
              <w:topLinePunct w:val="0"/>
              <w:autoSpaceDE/>
              <w:autoSpaceDN/>
              <w:bidi w:val="0"/>
              <w:adjustRightInd/>
              <w:snapToGrid/>
              <w:spacing w:line="240" w:lineRule="auto"/>
              <w:textAlignment w:val="auto"/>
              <w:rPr>
                <w:sz w:val="16"/>
                <w:szCs w:val="16"/>
                <w:highlight w:val="none"/>
              </w:rPr>
            </w:pPr>
            <w:r>
              <w:rPr>
                <w:sz w:val="16"/>
                <w:szCs w:val="16"/>
                <w:highlight w:val="none"/>
              </w:rPr>
              <w:t>This feature is only applicable to single-carrier operation.</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rFonts w:eastAsia="MS Mincho"/>
                <w:sz w:val="16"/>
                <w:szCs w:val="16"/>
              </w:rPr>
              <w:t>NOTE:</w:t>
            </w:r>
            <w:r>
              <w:rPr>
                <w:rFonts w:cs="Arial"/>
                <w:sz w:val="16"/>
                <w:szCs w:val="16"/>
              </w:rPr>
              <w:tab/>
            </w:r>
            <w:r>
              <w:rPr>
                <w:rFonts w:eastAsia="MS Mincho"/>
                <w:sz w:val="16"/>
                <w:szCs w:val="16"/>
              </w:rPr>
              <w:t>The UE supporting this capability supports configuration of 12 PRB BWP operation.</w:t>
            </w:r>
          </w:p>
        </w:tc>
        <w:tc>
          <w:tcPr>
            <w:tcW w:w="850" w:type="dxa"/>
            <w:vAlign w:val="top"/>
          </w:tcPr>
          <w:p>
            <w:pPr>
              <w:pStyle w:val="58"/>
              <w:jc w:val="center"/>
              <w:rPr>
                <w:rFonts w:eastAsia="MS Mincho"/>
                <w:sz w:val="16"/>
                <w:szCs w:val="16"/>
              </w:rPr>
            </w:pPr>
            <w:r>
              <w:rPr>
                <w:bCs/>
                <w:iCs/>
              </w:rPr>
              <w:t>Band</w:t>
            </w:r>
          </w:p>
        </w:tc>
        <w:tc>
          <w:tcPr>
            <w:tcW w:w="850" w:type="dxa"/>
            <w:vAlign w:val="top"/>
          </w:tcPr>
          <w:p>
            <w:pPr>
              <w:pStyle w:val="58"/>
              <w:jc w:val="center"/>
              <w:rPr>
                <w:rFonts w:eastAsia="MS Mincho"/>
                <w:sz w:val="16"/>
                <w:szCs w:val="16"/>
              </w:rPr>
            </w:pPr>
            <w:r>
              <w:rPr>
                <w:bCs/>
                <w:iCs/>
              </w:rPr>
              <w:t>No</w:t>
            </w:r>
          </w:p>
        </w:tc>
        <w:tc>
          <w:tcPr>
            <w:tcW w:w="850" w:type="dxa"/>
            <w:vAlign w:val="top"/>
          </w:tcPr>
          <w:p>
            <w:pPr>
              <w:pStyle w:val="58"/>
              <w:jc w:val="center"/>
              <w:rPr>
                <w:rFonts w:eastAsia="MS Mincho"/>
                <w:sz w:val="16"/>
                <w:szCs w:val="16"/>
              </w:rPr>
            </w:pPr>
            <w:r>
              <w:rPr>
                <w:bCs/>
                <w:iCs/>
              </w:rPr>
              <w:t>FDD only</w:t>
            </w:r>
          </w:p>
        </w:tc>
        <w:tc>
          <w:tcPr>
            <w:tcW w:w="850" w:type="dxa"/>
            <w:vAlign w:val="top"/>
          </w:tcPr>
          <w:p>
            <w:pPr>
              <w:pStyle w:val="58"/>
              <w:jc w:val="center"/>
              <w:rPr>
                <w:rFonts w:eastAsia="MS Mincho"/>
                <w:sz w:val="16"/>
                <w:szCs w:val="16"/>
              </w:rP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support3MHz-ChannelBW-Asymmetric-r18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Indicates whether the UE supports 3 MHz channel bandwidth in uplink with larger than 3 MHz channel BW in DL, including s</w:t>
            </w:r>
            <w:r>
              <w:rPr>
                <w:rFonts w:eastAsia="宋体" w:cs="Arial"/>
                <w:sz w:val="16"/>
                <w:szCs w:val="16"/>
                <w:lang w:eastAsia="zh-CN"/>
              </w:rPr>
              <w:t>hort RACH preamble formats with 15kHz SCS, and long PRACH formats with 1.25kHz SCS.</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supported for 15kHz SCS only. </w:t>
            </w:r>
            <w:r>
              <w:rPr>
                <w:sz w:val="16"/>
                <w:szCs w:val="16"/>
                <w:highlight w:val="none"/>
              </w:rPr>
              <w:t>It is applicable only to single-carrier operation</w:t>
            </w:r>
            <w:r>
              <w:rPr>
                <w:sz w:val="16"/>
                <w:szCs w:val="16"/>
              </w:rPr>
              <w:t xml:space="preserve"> and applies to bands where the UE indicates support for </w:t>
            </w:r>
            <w:r>
              <w:rPr>
                <w:i/>
                <w:iCs/>
                <w:sz w:val="16"/>
                <w:szCs w:val="16"/>
              </w:rPr>
              <w:t>asymmetricBandwidthCombinationSet</w:t>
            </w:r>
            <w:r>
              <w:rPr>
                <w:sz w:val="16"/>
                <w:szCs w:val="16"/>
              </w:rPr>
              <w:t xml:space="preserve"> with 3 MHz UL </w:t>
            </w:r>
            <w:r>
              <w:rPr>
                <w:sz w:val="16"/>
                <w:szCs w:val="16"/>
                <w:highlight w:val="yellow"/>
              </w:rPr>
              <w:t xml:space="preserve">according to clause 5.3.6 of TS 38.101-1 </w:t>
            </w:r>
            <w:r>
              <w:rPr>
                <w:sz w:val="16"/>
                <w:szCs w:val="16"/>
              </w:rPr>
              <w:t>[2].</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NOTE 1:</w:t>
            </w:r>
            <w:r>
              <w:rPr>
                <w:rFonts w:cs="Arial"/>
                <w:sz w:val="16"/>
                <w:szCs w:val="16"/>
              </w:rPr>
              <w:tab/>
            </w:r>
            <w:r>
              <w:rPr>
                <w:sz w:val="16"/>
                <w:szCs w:val="16"/>
              </w:rPr>
              <w:t>The UE supporting this feature supports configuration of 15 PRB UL BWP operation.</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sz w:val="16"/>
                <w:szCs w:val="16"/>
              </w:rPr>
              <w:t>NOTE 2:</w:t>
            </w:r>
            <w:r>
              <w:rPr>
                <w:rFonts w:cs="Arial"/>
                <w:sz w:val="16"/>
                <w:szCs w:val="16"/>
              </w:rPr>
              <w:tab/>
            </w:r>
            <w:r>
              <w:rPr>
                <w:sz w:val="16"/>
                <w:szCs w:val="16"/>
              </w:rPr>
              <w:t xml:space="preserve">If the UE indicates support in </w:t>
            </w:r>
            <w:r>
              <w:rPr>
                <w:i/>
                <w:iCs/>
                <w:sz w:val="16"/>
                <w:szCs w:val="16"/>
              </w:rPr>
              <w:t>asymmetricBandwidthCombinationSet</w:t>
            </w:r>
            <w:r>
              <w:rPr>
                <w:sz w:val="16"/>
                <w:szCs w:val="16"/>
              </w:rPr>
              <w:t xml:space="preserve"> for a 3MHz UL in a band according to clause 5.3.6 of 38.101-1 [2], this feature shall be indicated for the band.</w:t>
            </w:r>
          </w:p>
        </w:tc>
        <w:tc>
          <w:tcPr>
            <w:tcW w:w="850" w:type="dxa"/>
            <w:vAlign w:val="top"/>
          </w:tcPr>
          <w:p>
            <w:pPr>
              <w:pStyle w:val="58"/>
              <w:jc w:val="center"/>
              <w:rPr>
                <w:sz w:val="16"/>
                <w:szCs w:val="16"/>
              </w:rPr>
            </w:pPr>
            <w:r>
              <w:rPr>
                <w:bCs/>
                <w:iCs/>
              </w:rPr>
              <w:t>Band</w:t>
            </w:r>
          </w:p>
        </w:tc>
        <w:tc>
          <w:tcPr>
            <w:tcW w:w="850" w:type="dxa"/>
            <w:vAlign w:val="top"/>
          </w:tcPr>
          <w:p>
            <w:pPr>
              <w:pStyle w:val="58"/>
              <w:jc w:val="center"/>
              <w:rPr>
                <w:sz w:val="16"/>
                <w:szCs w:val="16"/>
              </w:rPr>
            </w:pPr>
            <w:r>
              <w:rPr>
                <w:bCs/>
                <w:iCs/>
              </w:rPr>
              <w:t>No</w:t>
            </w:r>
          </w:p>
        </w:tc>
        <w:tc>
          <w:tcPr>
            <w:tcW w:w="850" w:type="dxa"/>
            <w:vAlign w:val="top"/>
          </w:tcPr>
          <w:p>
            <w:pPr>
              <w:pStyle w:val="58"/>
              <w:jc w:val="center"/>
              <w:rPr>
                <w:sz w:val="16"/>
                <w:szCs w:val="16"/>
              </w:rPr>
            </w:pPr>
            <w:r>
              <w:rPr>
                <w:bCs/>
                <w:iCs/>
              </w:rPr>
              <w:t>FDD only</w:t>
            </w:r>
          </w:p>
        </w:tc>
        <w:tc>
          <w:tcPr>
            <w:tcW w:w="850" w:type="dxa"/>
            <w:vAlign w:val="top"/>
          </w:tcPr>
          <w:p>
            <w:pPr>
              <w:pStyle w:val="58"/>
              <w:jc w:val="center"/>
              <w:rPr>
                <w:sz w:val="16"/>
                <w:szCs w:val="16"/>
              </w:rP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support3MHz-ChannelBW-Symmetric-r18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Indicates whether the UE supports 3 MHz symmetric channel bandwidth in DL and UL, including the following functional components:</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Reception of 12 PRB PBCH based on RB-level puncturing;</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Short RACH preamble formats with 15kHz SCS, and long PRACH formats with 1.25kHz SCS;</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Reception of 15 PRB CORESET0.</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This feature is supported for 15kHz SCS only</w:t>
            </w:r>
            <w:r>
              <w:rPr>
                <w:sz w:val="16"/>
                <w:szCs w:val="16"/>
                <w:highlight w:val="none"/>
              </w:rPr>
              <w:t xml:space="preserve">. It is applicable only to single-carrier operation </w:t>
            </w:r>
            <w:r>
              <w:rPr>
                <w:sz w:val="16"/>
                <w:szCs w:val="16"/>
              </w:rPr>
              <w:t xml:space="preserve">and when an associated SS/PBCH block is located </w:t>
            </w:r>
            <w:r>
              <w:rPr>
                <w:sz w:val="16"/>
                <w:szCs w:val="16"/>
                <w:highlight w:val="yellow"/>
              </w:rPr>
              <w:t>according to Table 5.4.3.3-2 in TS 38.101-1</w:t>
            </w:r>
            <w:r>
              <w:rPr>
                <w:sz w:val="16"/>
                <w:szCs w:val="16"/>
              </w:rPr>
              <w:t xml:space="preserve"> [2].</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sz w:val="16"/>
                <w:szCs w:val="16"/>
              </w:rPr>
              <w:t>NOTE:</w:t>
            </w:r>
            <w:r>
              <w:rPr>
                <w:rFonts w:cs="Arial"/>
                <w:sz w:val="16"/>
                <w:szCs w:val="16"/>
              </w:rPr>
              <w:tab/>
            </w:r>
            <w:r>
              <w:rPr>
                <w:sz w:val="16"/>
                <w:szCs w:val="16"/>
              </w:rPr>
              <w:t>The UE supporting this capability supports configuration of 15 PRB BWP operation in DL and UL.</w:t>
            </w:r>
          </w:p>
        </w:tc>
        <w:tc>
          <w:tcPr>
            <w:tcW w:w="850" w:type="dxa"/>
            <w:vAlign w:val="top"/>
          </w:tcPr>
          <w:p>
            <w:pPr>
              <w:pStyle w:val="58"/>
              <w:jc w:val="center"/>
              <w:rPr>
                <w:rFonts w:ascii="Arial" w:hAnsi="Arial" w:eastAsia="宋体" w:cs="Times New Roman"/>
                <w:bCs/>
                <w:iCs/>
                <w:kern w:val="2"/>
                <w:sz w:val="18"/>
                <w:lang w:val="en-US" w:eastAsia="zh-CN" w:bidi="ar-SA"/>
              </w:rPr>
            </w:pPr>
            <w:r>
              <w:rPr>
                <w:bCs/>
                <w:iCs/>
              </w:rPr>
              <w:t>Band</w:t>
            </w:r>
          </w:p>
        </w:tc>
        <w:tc>
          <w:tcPr>
            <w:tcW w:w="850" w:type="dxa"/>
            <w:vAlign w:val="top"/>
          </w:tcPr>
          <w:p>
            <w:pPr>
              <w:pStyle w:val="58"/>
              <w:jc w:val="center"/>
              <w:rPr>
                <w:rFonts w:ascii="Arial" w:hAnsi="Arial" w:eastAsia="宋体" w:cs="Times New Roman"/>
                <w:bCs/>
                <w:iCs/>
                <w:kern w:val="2"/>
                <w:sz w:val="18"/>
                <w:lang w:val="en-US" w:eastAsia="zh-CN" w:bidi="ar-SA"/>
              </w:rPr>
            </w:pPr>
            <w:r>
              <w:rPr>
                <w:bCs/>
                <w:iCs/>
              </w:rPr>
              <w:t>No</w:t>
            </w:r>
          </w:p>
        </w:tc>
        <w:tc>
          <w:tcPr>
            <w:tcW w:w="850" w:type="dxa"/>
            <w:vAlign w:val="top"/>
          </w:tcPr>
          <w:p>
            <w:pPr>
              <w:pStyle w:val="58"/>
              <w:jc w:val="center"/>
              <w:rPr>
                <w:rFonts w:ascii="Arial" w:hAnsi="Arial" w:eastAsia="宋体" w:cs="Times New Roman"/>
                <w:bCs/>
                <w:iCs/>
                <w:kern w:val="2"/>
                <w:sz w:val="18"/>
                <w:lang w:val="en-US" w:eastAsia="zh-CN" w:bidi="ar-SA"/>
              </w:rPr>
            </w:pPr>
            <w:r>
              <w:rPr>
                <w:bCs/>
                <w:iCs/>
              </w:rPr>
              <w:t>FDD only</w:t>
            </w:r>
          </w:p>
        </w:tc>
        <w:tc>
          <w:tcPr>
            <w:tcW w:w="850" w:type="dxa"/>
            <w:vAlign w:val="top"/>
          </w:tcPr>
          <w:p>
            <w:pPr>
              <w:pStyle w:val="58"/>
              <w:jc w:val="center"/>
              <w:rPr>
                <w:rFonts w:ascii="Arial" w:hAnsi="Arial" w:eastAsia="宋体" w:cs="Times New Roman"/>
                <w:kern w:val="2"/>
                <w:sz w:val="18"/>
                <w:lang w:val="en-US" w:eastAsia="zh-CN" w:bidi="ar-SA"/>
              </w:rP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vAlign w:val="top"/>
          </w:tcPr>
          <w:p>
            <w:pPr>
              <w:pStyle w:val="58"/>
              <w:pageBreakBefore w:val="0"/>
              <w:widowControl/>
              <w:kinsoku/>
              <w:wordWrap/>
              <w:overflowPunct/>
              <w:topLinePunct w:val="0"/>
              <w:autoSpaceDE/>
              <w:autoSpaceDN/>
              <w:bidi w:val="0"/>
              <w:adjustRightInd/>
              <w:snapToGrid/>
              <w:spacing w:line="240" w:lineRule="auto"/>
              <w:textAlignment w:val="auto"/>
              <w:rPr>
                <w:b/>
                <w:i/>
                <w:sz w:val="16"/>
                <w:szCs w:val="16"/>
              </w:rPr>
            </w:pPr>
            <w:r>
              <w:rPr>
                <w:b/>
                <w:i/>
                <w:sz w:val="16"/>
                <w:szCs w:val="16"/>
              </w:rPr>
              <w:t>support5MHz-ChannelBW-20PRB-CORESET0-r18</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sz w:val="16"/>
                <w:szCs w:val="16"/>
              </w:rPr>
              <w:t>Indicates whether the UE supports short RACH preamble formats with 15kHz SCS, and long PRACH formats with 1.25kHz SCS, and the reception of 20 PRB CORESET0.</w:t>
            </w:r>
            <w:r>
              <w:rPr>
                <w:rFonts w:eastAsia="MS Mincho" w:cs="Arial"/>
                <w:sz w:val="16"/>
                <w:szCs w:val="16"/>
              </w:rPr>
              <w:t xml:space="preserve"> This feature is supported for 15 kHz SCS only.</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rFonts w:eastAsia="MS Mincho" w:cs="Arial"/>
                <w:sz w:val="16"/>
                <w:szCs w:val="16"/>
              </w:rPr>
              <w:t>This feature is only applicable when an associated SS/PBCH block is located in band n100 at GSCN 41638 of Table 5.4.3.1-3 in TS 38.101-1 [2].</w:t>
            </w:r>
          </w:p>
          <w:p>
            <w:pPr>
              <w:keepNext/>
              <w:keepLines/>
              <w:pageBreakBefore w:val="0"/>
              <w:widowControl/>
              <w:kinsoku/>
              <w:wordWrap/>
              <w:overflowPunct/>
              <w:topLinePunct w:val="0"/>
              <w:autoSpaceDE/>
              <w:autoSpaceDN/>
              <w:bidi w:val="0"/>
              <w:adjustRightInd/>
              <w:snapToGrid/>
              <w:spacing w:line="240" w:lineRule="auto"/>
              <w:textAlignment w:val="auto"/>
              <w:rPr>
                <w:rFonts w:ascii="Arial" w:hAnsi="Arial" w:eastAsia="MS Mincho" w:cs="Arial"/>
                <w:sz w:val="16"/>
                <w:szCs w:val="16"/>
                <w:highlight w:val="none"/>
              </w:rPr>
            </w:pPr>
            <w:r>
              <w:rPr>
                <w:rFonts w:ascii="Arial" w:hAnsi="Arial" w:eastAsia="MS Mincho" w:cs="Arial"/>
                <w:sz w:val="16"/>
                <w:szCs w:val="16"/>
                <w:highlight w:val="none"/>
              </w:rPr>
              <w:t>This feature is only applicable to single-carrier operation.</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rFonts w:eastAsia="MS Mincho" w:cs="Arial"/>
                <w:sz w:val="16"/>
                <w:szCs w:val="16"/>
              </w:rPr>
              <w:t xml:space="preserve">This feature is not applicable to UEs indicating </w:t>
            </w:r>
            <w:r>
              <w:rPr>
                <w:rFonts w:eastAsia="MS Mincho" w:cs="Arial"/>
                <w:i/>
                <w:iCs/>
                <w:sz w:val="16"/>
                <w:szCs w:val="16"/>
              </w:rPr>
              <w:t>supportOfRedCap-r17</w:t>
            </w:r>
            <w:r>
              <w:rPr>
                <w:rFonts w:eastAsia="MS Mincho" w:cs="Arial"/>
                <w:sz w:val="16"/>
                <w:szCs w:val="16"/>
              </w:rPr>
              <w:t xml:space="preserve"> or </w:t>
            </w:r>
            <w:r>
              <w:rPr>
                <w:rFonts w:eastAsia="MS Mincho" w:cs="Arial"/>
                <w:i/>
                <w:iCs/>
                <w:sz w:val="16"/>
                <w:szCs w:val="16"/>
              </w:rPr>
              <w:t>supportOfERedCap-r18</w:t>
            </w:r>
            <w:r>
              <w:rPr>
                <w:rFonts w:eastAsia="MS Mincho" w:cs="Arial"/>
                <w:sz w:val="16"/>
                <w:szCs w:val="16"/>
              </w:rPr>
              <w:t>.</w:t>
            </w:r>
          </w:p>
          <w:p>
            <w:pPr>
              <w:pStyle w:val="63"/>
              <w:pageBreakBefore w:val="0"/>
              <w:widowControl/>
              <w:kinsoku/>
              <w:wordWrap/>
              <w:overflowPunct/>
              <w:topLinePunct w:val="0"/>
              <w:autoSpaceDE/>
              <w:autoSpaceDN/>
              <w:bidi w:val="0"/>
              <w:adjustRightInd/>
              <w:snapToGrid/>
              <w:spacing w:after="0" w:line="240" w:lineRule="auto"/>
              <w:ind w:left="885" w:leftChars="0" w:hanging="851" w:firstLineChars="0"/>
              <w:textAlignment w:val="auto"/>
              <w:rPr>
                <w:sz w:val="16"/>
                <w:szCs w:val="16"/>
              </w:rPr>
            </w:pPr>
            <w:r>
              <w:rPr>
                <w:rFonts w:ascii="Arial" w:hAnsi="Arial" w:cs="Arial"/>
                <w:sz w:val="16"/>
                <w:szCs w:val="16"/>
              </w:rPr>
              <w:t>NOTE:</w:t>
            </w:r>
            <w:r>
              <w:rPr>
                <w:rFonts w:ascii="Arial" w:hAnsi="Arial" w:cs="Arial"/>
                <w:sz w:val="16"/>
                <w:szCs w:val="16"/>
              </w:rPr>
              <w:tab/>
            </w:r>
            <w:r>
              <w:rPr>
                <w:rFonts w:ascii="Arial" w:hAnsi="Arial" w:cs="Arial"/>
                <w:sz w:val="16"/>
                <w:szCs w:val="16"/>
              </w:rPr>
              <w:t>The UE supporting this feature supports configuration of 20 PRB BWP operation.</w:t>
            </w:r>
          </w:p>
        </w:tc>
        <w:tc>
          <w:tcPr>
            <w:tcW w:w="850" w:type="dxa"/>
            <w:vAlign w:val="top"/>
          </w:tcPr>
          <w:p>
            <w:pPr>
              <w:pStyle w:val="58"/>
              <w:jc w:val="center"/>
              <w:rPr>
                <w:rFonts w:ascii="Arial" w:hAnsi="Arial" w:cs="Arial"/>
                <w:sz w:val="16"/>
                <w:szCs w:val="16"/>
              </w:rPr>
            </w:pPr>
            <w:r>
              <w:rPr>
                <w:bCs/>
                <w:iCs/>
              </w:rPr>
              <w:t>UE</w:t>
            </w:r>
          </w:p>
        </w:tc>
        <w:tc>
          <w:tcPr>
            <w:tcW w:w="850" w:type="dxa"/>
            <w:vAlign w:val="top"/>
          </w:tcPr>
          <w:p>
            <w:pPr>
              <w:pStyle w:val="58"/>
              <w:jc w:val="center"/>
              <w:rPr>
                <w:rFonts w:ascii="Arial" w:hAnsi="Arial" w:cs="Arial"/>
                <w:sz w:val="16"/>
                <w:szCs w:val="16"/>
              </w:rPr>
            </w:pPr>
            <w:r>
              <w:rPr>
                <w:bCs/>
                <w:iCs/>
              </w:rPr>
              <w:t>No</w:t>
            </w:r>
          </w:p>
        </w:tc>
        <w:tc>
          <w:tcPr>
            <w:tcW w:w="850" w:type="dxa"/>
            <w:vAlign w:val="top"/>
          </w:tcPr>
          <w:p>
            <w:pPr>
              <w:pStyle w:val="58"/>
              <w:jc w:val="center"/>
              <w:rPr>
                <w:rFonts w:ascii="Arial" w:hAnsi="Arial" w:cs="Arial"/>
                <w:sz w:val="16"/>
                <w:szCs w:val="16"/>
              </w:rPr>
            </w:pPr>
            <w:r>
              <w:rPr>
                <w:bCs/>
                <w:iCs/>
              </w:rPr>
              <w:t>FDD only</w:t>
            </w:r>
          </w:p>
        </w:tc>
        <w:tc>
          <w:tcPr>
            <w:tcW w:w="850" w:type="dxa"/>
            <w:vAlign w:val="top"/>
          </w:tcPr>
          <w:p>
            <w:pPr>
              <w:pStyle w:val="58"/>
              <w:jc w:val="center"/>
              <w:rPr>
                <w:rFonts w:ascii="Arial" w:hAnsi="Arial" w:cs="Arial"/>
                <w:sz w:val="16"/>
                <w:szCs w:val="16"/>
              </w:rPr>
            </w:pPr>
            <w:r>
              <w:rPr>
                <w:bCs/>
                <w:iCs/>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294" w:type="dxa"/>
            <w:vAlign w:val="top"/>
          </w:tcPr>
          <w:p>
            <w:pPr>
              <w:pStyle w:val="58"/>
              <w:pageBreakBefore w:val="0"/>
              <w:widowControl/>
              <w:kinsoku/>
              <w:wordWrap/>
              <w:overflowPunct/>
              <w:topLinePunct w:val="0"/>
              <w:autoSpaceDE/>
              <w:autoSpaceDN/>
              <w:bidi w:val="0"/>
              <w:adjustRightInd/>
              <w:snapToGrid/>
              <w:spacing w:line="240" w:lineRule="auto"/>
              <w:textAlignment w:val="auto"/>
              <w:rPr>
                <w:b/>
                <w:i/>
                <w:sz w:val="16"/>
                <w:szCs w:val="16"/>
              </w:rPr>
            </w:pPr>
            <w:r>
              <w:rPr>
                <w:b/>
                <w:i/>
                <w:sz w:val="16"/>
                <w:szCs w:val="16"/>
              </w:rPr>
              <w:t>support12PRB-CORESET0-GSCN-41637-r18</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bCs/>
                <w:iCs/>
                <w:sz w:val="16"/>
                <w:szCs w:val="16"/>
              </w:rPr>
              <w:t xml:space="preserve">Indicates whether the UE supports reception of </w:t>
            </w:r>
            <w:r>
              <w:rPr>
                <w:rFonts w:eastAsia="MS Mincho" w:cs="Arial"/>
                <w:sz w:val="16"/>
                <w:szCs w:val="16"/>
              </w:rPr>
              <w:t>12 PRB CORESET0 with an associated SS/PBCH block located at GSCN 41637.</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rFonts w:eastAsia="MS Mincho" w:cs="Arial"/>
                <w:sz w:val="16"/>
                <w:szCs w:val="16"/>
              </w:rPr>
              <w:t xml:space="preserve">A UE supporting this feature shall also indicate support of </w:t>
            </w:r>
            <w:r>
              <w:rPr>
                <w:i/>
                <w:iCs/>
                <w:sz w:val="16"/>
                <w:szCs w:val="16"/>
              </w:rPr>
              <w:t>support3MHz-ChannelBW-Symmetric-r18</w:t>
            </w:r>
            <w:r>
              <w:rPr>
                <w:rFonts w:eastAsia="MS Mincho" w:cs="Arial"/>
                <w:sz w:val="16"/>
                <w:szCs w:val="16"/>
              </w:rPr>
              <w:t xml:space="preserve">. </w:t>
            </w:r>
            <w:r>
              <w:rPr>
                <w:sz w:val="16"/>
                <w:szCs w:val="16"/>
              </w:rPr>
              <w:t>This feature is supported for 15 kHz SCS only.</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This feature is only applicable when an associated SS/PBCH block is located in band n100 at GSCN 41637 of Table 5.4.3.1-3 in TS 38.101-1 [2].</w:t>
            </w:r>
          </w:p>
          <w:p>
            <w:pPr>
              <w:pStyle w:val="70"/>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NOTE:</w:t>
            </w:r>
            <w:r>
              <w:rPr>
                <w:rFonts w:cs="Arial"/>
                <w:sz w:val="16"/>
                <w:szCs w:val="16"/>
              </w:rPr>
              <w:tab/>
            </w:r>
            <w:r>
              <w:rPr>
                <w:sz w:val="16"/>
                <w:szCs w:val="16"/>
              </w:rPr>
              <w:t>The UE supporting this FG supports configuration of 12 PRB BWP operation.</w:t>
            </w:r>
          </w:p>
          <w:p>
            <w:pPr>
              <w:pStyle w:val="58"/>
              <w:pageBreakBefore w:val="0"/>
              <w:widowControl/>
              <w:kinsoku/>
              <w:wordWrap/>
              <w:overflowPunct/>
              <w:topLinePunct w:val="0"/>
              <w:autoSpaceDE/>
              <w:autoSpaceDN/>
              <w:bidi w:val="0"/>
              <w:adjustRightInd/>
              <w:snapToGrid/>
              <w:spacing w:line="240" w:lineRule="auto"/>
              <w:textAlignment w:val="auto"/>
              <w:rPr>
                <w:sz w:val="16"/>
                <w:szCs w:val="16"/>
                <w:highlight w:val="none"/>
              </w:rPr>
            </w:pPr>
            <w:r>
              <w:rPr>
                <w:sz w:val="16"/>
                <w:szCs w:val="16"/>
                <w:highlight w:val="none"/>
              </w:rPr>
              <w:t>This feature is only applicable to single-carrier operation.</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tc>
        <w:tc>
          <w:tcPr>
            <w:tcW w:w="850" w:type="dxa"/>
            <w:vAlign w:val="top"/>
          </w:tcPr>
          <w:p>
            <w:pPr>
              <w:pStyle w:val="58"/>
              <w:jc w:val="center"/>
              <w:rPr>
                <w:sz w:val="16"/>
                <w:szCs w:val="16"/>
              </w:rPr>
            </w:pPr>
            <w:r>
              <w:rPr>
                <w:bCs/>
                <w:iCs/>
              </w:rPr>
              <w:t>UE</w:t>
            </w:r>
          </w:p>
        </w:tc>
        <w:tc>
          <w:tcPr>
            <w:tcW w:w="850" w:type="dxa"/>
            <w:vAlign w:val="top"/>
          </w:tcPr>
          <w:p>
            <w:pPr>
              <w:pStyle w:val="58"/>
              <w:jc w:val="center"/>
              <w:rPr>
                <w:sz w:val="16"/>
                <w:szCs w:val="16"/>
              </w:rPr>
            </w:pPr>
            <w:r>
              <w:rPr>
                <w:bCs/>
                <w:iCs/>
              </w:rPr>
              <w:t>No</w:t>
            </w:r>
          </w:p>
        </w:tc>
        <w:tc>
          <w:tcPr>
            <w:tcW w:w="850" w:type="dxa"/>
            <w:vAlign w:val="top"/>
          </w:tcPr>
          <w:p>
            <w:pPr>
              <w:pStyle w:val="58"/>
              <w:jc w:val="center"/>
              <w:rPr>
                <w:sz w:val="16"/>
                <w:szCs w:val="16"/>
              </w:rPr>
            </w:pPr>
            <w:r>
              <w:rPr>
                <w:bCs/>
                <w:iCs/>
              </w:rPr>
              <w:t>FDD only</w:t>
            </w:r>
          </w:p>
        </w:tc>
        <w:tc>
          <w:tcPr>
            <w:tcW w:w="850" w:type="dxa"/>
            <w:vAlign w:val="top"/>
          </w:tcPr>
          <w:p>
            <w:pPr>
              <w:pStyle w:val="58"/>
              <w:jc w:val="center"/>
              <w:rPr>
                <w:sz w:val="16"/>
                <w:szCs w:val="16"/>
              </w:rPr>
            </w:pPr>
            <w:r>
              <w:rPr>
                <w:bCs/>
                <w:iCs/>
              </w:rPr>
              <w:t>FR1 only</w:t>
            </w:r>
          </w:p>
        </w:tc>
      </w:tr>
    </w:tbl>
    <w:p>
      <w:pPr>
        <w:bidi w:val="0"/>
        <w:rPr>
          <w:rFonts w:hint="default"/>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system parameters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less than 5MHz</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iCs/>
          <w:sz w:val="20"/>
          <w:szCs w:val="20"/>
          <w:lang w:val="en-US" w:eastAsia="zh-CN"/>
        </w:rPr>
      </w:pPr>
      <w:r>
        <w:rPr>
          <w:rFonts w:hint="eastAsia"/>
          <w:b/>
          <w:bCs/>
          <w:i w:val="0"/>
          <w:iCs w:val="0"/>
          <w:sz w:val="20"/>
          <w:szCs w:val="20"/>
          <w:lang w:val="en-US" w:eastAsia="zh-CN"/>
        </w:rPr>
        <w:t>Proposal 1: 3MHz channel bandwidth can be mandatory from Rel-19 based on operators</w:t>
      </w:r>
      <w:r>
        <w:rPr>
          <w:rFonts w:hint="default"/>
          <w:b/>
          <w:bCs/>
          <w:i w:val="0"/>
          <w:iCs w:val="0"/>
          <w:sz w:val="20"/>
          <w:szCs w:val="20"/>
          <w:lang w:val="en-US" w:eastAsia="zh-CN"/>
        </w:rPr>
        <w:t>’</w:t>
      </w:r>
      <w:r>
        <w:rPr>
          <w:rFonts w:hint="eastAsia"/>
          <w:b/>
          <w:bCs/>
          <w:i w:val="0"/>
          <w:iCs w:val="0"/>
          <w:sz w:val="20"/>
          <w:szCs w:val="20"/>
          <w:lang w:val="en-US" w:eastAsia="zh-CN"/>
        </w:rPr>
        <w:t xml:space="preserve"> need.</w:t>
      </w:r>
    </w:p>
    <w:p>
      <w:pPr>
        <w:bidi w:val="0"/>
        <w:jc w:val="both"/>
        <w:rPr>
          <w:rFonts w:hint="eastAsia"/>
          <w:b/>
          <w:bCs/>
          <w:i w:val="0"/>
          <w:iCs w:val="0"/>
          <w:sz w:val="20"/>
          <w:szCs w:val="20"/>
          <w:lang w:val="en-US" w:eastAsia="zh-CN"/>
        </w:rPr>
      </w:pPr>
      <w:r>
        <w:rPr>
          <w:rFonts w:hint="eastAsia"/>
          <w:b/>
          <w:bCs/>
          <w:i w:val="0"/>
          <w:iCs w:val="0"/>
          <w:sz w:val="20"/>
          <w:szCs w:val="20"/>
          <w:lang w:val="en-US" w:eastAsia="zh-CN"/>
        </w:rPr>
        <w:t xml:space="preserve">Proposal 2: The existing signallings of </w:t>
      </w:r>
      <w:r>
        <w:rPr>
          <w:rFonts w:hint="eastAsia"/>
          <w:b/>
          <w:bCs/>
          <w:i/>
          <w:iCs/>
          <w:sz w:val="20"/>
          <w:szCs w:val="20"/>
          <w:lang w:val="en-US" w:eastAsia="zh-CN"/>
        </w:rPr>
        <w:t>support12PRB-CORESET0-r18</w:t>
      </w:r>
      <w:r>
        <w:rPr>
          <w:rFonts w:hint="eastAsia"/>
          <w:b/>
          <w:bCs/>
          <w:i w:val="0"/>
          <w:iCs w:val="0"/>
          <w:sz w:val="20"/>
          <w:szCs w:val="20"/>
          <w:lang w:val="en-US" w:eastAsia="zh-CN"/>
        </w:rPr>
        <w:t xml:space="preserve">, </w:t>
      </w:r>
      <w:r>
        <w:rPr>
          <w:rFonts w:hint="eastAsia"/>
          <w:b/>
          <w:bCs/>
          <w:i/>
          <w:iCs/>
          <w:sz w:val="20"/>
          <w:szCs w:val="20"/>
          <w:lang w:val="en-US" w:eastAsia="zh-CN"/>
        </w:rPr>
        <w:t>support3MHz-ChannelBW-Asymmetric-r18</w:t>
      </w:r>
      <w:r>
        <w:rPr>
          <w:rFonts w:hint="eastAsia"/>
          <w:b/>
          <w:bCs/>
          <w:i w:val="0"/>
          <w:iCs w:val="0"/>
          <w:sz w:val="20"/>
          <w:szCs w:val="20"/>
          <w:lang w:val="en-US" w:eastAsia="zh-CN"/>
        </w:rPr>
        <w:t xml:space="preserve"> and </w:t>
      </w:r>
      <w:r>
        <w:rPr>
          <w:rFonts w:hint="eastAsia"/>
          <w:b/>
          <w:bCs/>
          <w:i/>
          <w:iCs/>
          <w:sz w:val="20"/>
          <w:szCs w:val="20"/>
          <w:lang w:val="en-US" w:eastAsia="zh-CN"/>
        </w:rPr>
        <w:t>support3MHz-ChannelBW-Symmetric-r18</w:t>
      </w:r>
      <w:r>
        <w:rPr>
          <w:rFonts w:hint="eastAsia"/>
          <w:b/>
          <w:bCs/>
          <w:i w:val="0"/>
          <w:iCs w:val="0"/>
          <w:sz w:val="20"/>
          <w:szCs w:val="20"/>
          <w:lang w:val="en-US" w:eastAsia="zh-CN"/>
        </w:rPr>
        <w:t xml:space="preserve"> are reused for NR-NTN. </w:t>
      </w:r>
    </w:p>
    <w:p>
      <w:pPr>
        <w:bidi w:val="0"/>
        <w:jc w:val="both"/>
        <w:rPr>
          <w:rFonts w:hint="default"/>
          <w:sz w:val="20"/>
          <w:szCs w:val="18"/>
          <w:lang w:val="en-US" w:eastAsia="zh-CN"/>
        </w:rPr>
      </w:pPr>
      <w:r>
        <w:rPr>
          <w:rFonts w:hint="eastAsia"/>
          <w:b/>
          <w:bCs/>
          <w:i w:val="0"/>
          <w:iCs w:val="0"/>
          <w:sz w:val="20"/>
          <w:szCs w:val="20"/>
          <w:lang w:val="en-US" w:eastAsia="zh-CN"/>
        </w:rPr>
        <w:t>Proposal 3: In current TS 38.331 spec, these signallings for less than 5MHz channel bandwidth are only related to TS 38.101-1, thus, some updates are needed for these UE features.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RP-240857, New WID: Enhanced requirements and test methodology for NR and IoT NTN, Huawei</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85920"/>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649A1"/>
    <w:rsid w:val="02AB0FBC"/>
    <w:rsid w:val="02AE6812"/>
    <w:rsid w:val="02D16C80"/>
    <w:rsid w:val="02DC3F9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5C61CA"/>
    <w:rsid w:val="0360259A"/>
    <w:rsid w:val="036522E7"/>
    <w:rsid w:val="036E37C2"/>
    <w:rsid w:val="03746F87"/>
    <w:rsid w:val="037C6EF7"/>
    <w:rsid w:val="03814F5B"/>
    <w:rsid w:val="038B3141"/>
    <w:rsid w:val="038C2C2D"/>
    <w:rsid w:val="03A77DFA"/>
    <w:rsid w:val="03B339B1"/>
    <w:rsid w:val="03C05350"/>
    <w:rsid w:val="03C1287B"/>
    <w:rsid w:val="03C36B0E"/>
    <w:rsid w:val="03C528EA"/>
    <w:rsid w:val="03CF67FA"/>
    <w:rsid w:val="03E120EA"/>
    <w:rsid w:val="03E358F3"/>
    <w:rsid w:val="03E84DE8"/>
    <w:rsid w:val="03E94550"/>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0677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F225A"/>
    <w:rsid w:val="05636085"/>
    <w:rsid w:val="057D1D66"/>
    <w:rsid w:val="059D265F"/>
    <w:rsid w:val="059E1515"/>
    <w:rsid w:val="05B92EC1"/>
    <w:rsid w:val="05DB542B"/>
    <w:rsid w:val="05E00AEA"/>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3317F"/>
    <w:rsid w:val="098143BC"/>
    <w:rsid w:val="098500F1"/>
    <w:rsid w:val="09885EF4"/>
    <w:rsid w:val="0992510E"/>
    <w:rsid w:val="09B33AE4"/>
    <w:rsid w:val="09BD407A"/>
    <w:rsid w:val="09BF125C"/>
    <w:rsid w:val="09C12CF5"/>
    <w:rsid w:val="09D7340E"/>
    <w:rsid w:val="09DA0E26"/>
    <w:rsid w:val="09DB6437"/>
    <w:rsid w:val="09E55691"/>
    <w:rsid w:val="09F67CD5"/>
    <w:rsid w:val="09FB69BA"/>
    <w:rsid w:val="0A054821"/>
    <w:rsid w:val="0A077A43"/>
    <w:rsid w:val="0A0835C8"/>
    <w:rsid w:val="0A145721"/>
    <w:rsid w:val="0A355EAA"/>
    <w:rsid w:val="0A3708FF"/>
    <w:rsid w:val="0A3B01F9"/>
    <w:rsid w:val="0A3F0488"/>
    <w:rsid w:val="0A402A36"/>
    <w:rsid w:val="0A4236A3"/>
    <w:rsid w:val="0A4E7EF5"/>
    <w:rsid w:val="0A646846"/>
    <w:rsid w:val="0A7B4D83"/>
    <w:rsid w:val="0A81506C"/>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8D2D6F"/>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2728"/>
    <w:rsid w:val="0C825F28"/>
    <w:rsid w:val="0C89028B"/>
    <w:rsid w:val="0C8B63A3"/>
    <w:rsid w:val="0CB94808"/>
    <w:rsid w:val="0CC146A9"/>
    <w:rsid w:val="0CC37BC2"/>
    <w:rsid w:val="0CC44C49"/>
    <w:rsid w:val="0CD87ABE"/>
    <w:rsid w:val="0CE26C42"/>
    <w:rsid w:val="0CE632FF"/>
    <w:rsid w:val="0CE76B48"/>
    <w:rsid w:val="0CEB5DBE"/>
    <w:rsid w:val="0CFB523A"/>
    <w:rsid w:val="0D074D4A"/>
    <w:rsid w:val="0D0A3371"/>
    <w:rsid w:val="0D0C5764"/>
    <w:rsid w:val="0D1B1E9C"/>
    <w:rsid w:val="0D1C2E6E"/>
    <w:rsid w:val="0D2D3ACB"/>
    <w:rsid w:val="0D4B44A1"/>
    <w:rsid w:val="0D6811B4"/>
    <w:rsid w:val="0D6E2620"/>
    <w:rsid w:val="0D704E21"/>
    <w:rsid w:val="0D755FFE"/>
    <w:rsid w:val="0D7F48FE"/>
    <w:rsid w:val="0D883C88"/>
    <w:rsid w:val="0D8A6002"/>
    <w:rsid w:val="0D8C6C09"/>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91130"/>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165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02F85"/>
    <w:rsid w:val="10C715C5"/>
    <w:rsid w:val="10D335EF"/>
    <w:rsid w:val="10E255A6"/>
    <w:rsid w:val="10E746EA"/>
    <w:rsid w:val="10E83FE0"/>
    <w:rsid w:val="10EC3168"/>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35EB1"/>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595070"/>
    <w:rsid w:val="126532DD"/>
    <w:rsid w:val="12680E73"/>
    <w:rsid w:val="12763466"/>
    <w:rsid w:val="127E5AA6"/>
    <w:rsid w:val="12811F99"/>
    <w:rsid w:val="128B2749"/>
    <w:rsid w:val="128E1E81"/>
    <w:rsid w:val="129019B5"/>
    <w:rsid w:val="129811DB"/>
    <w:rsid w:val="129937EE"/>
    <w:rsid w:val="129E6282"/>
    <w:rsid w:val="129F3A3A"/>
    <w:rsid w:val="12A76451"/>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6F24BC"/>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50E7F"/>
    <w:rsid w:val="146B69A8"/>
    <w:rsid w:val="146C5189"/>
    <w:rsid w:val="146F1089"/>
    <w:rsid w:val="14816B50"/>
    <w:rsid w:val="148313F4"/>
    <w:rsid w:val="1485665F"/>
    <w:rsid w:val="148829D5"/>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149D"/>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8133D5"/>
    <w:rsid w:val="159F73BB"/>
    <w:rsid w:val="15B03F28"/>
    <w:rsid w:val="15C15E25"/>
    <w:rsid w:val="15C42571"/>
    <w:rsid w:val="15E30A80"/>
    <w:rsid w:val="15FD2FA2"/>
    <w:rsid w:val="160125B6"/>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41601"/>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0E2B18"/>
    <w:rsid w:val="18171305"/>
    <w:rsid w:val="1820454C"/>
    <w:rsid w:val="1829280B"/>
    <w:rsid w:val="18334194"/>
    <w:rsid w:val="183E1D37"/>
    <w:rsid w:val="1840126B"/>
    <w:rsid w:val="1846724A"/>
    <w:rsid w:val="184A22E6"/>
    <w:rsid w:val="184D0787"/>
    <w:rsid w:val="185D1883"/>
    <w:rsid w:val="185E3AA1"/>
    <w:rsid w:val="185F15CF"/>
    <w:rsid w:val="18603479"/>
    <w:rsid w:val="18717152"/>
    <w:rsid w:val="1873591E"/>
    <w:rsid w:val="18812331"/>
    <w:rsid w:val="18816F1C"/>
    <w:rsid w:val="18847050"/>
    <w:rsid w:val="18853F3E"/>
    <w:rsid w:val="188F3639"/>
    <w:rsid w:val="18956393"/>
    <w:rsid w:val="18A8582C"/>
    <w:rsid w:val="18B50543"/>
    <w:rsid w:val="18CA40C3"/>
    <w:rsid w:val="18CD7A02"/>
    <w:rsid w:val="18D904AC"/>
    <w:rsid w:val="18DD3194"/>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36F0E"/>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36D4A"/>
    <w:rsid w:val="1ACF5EB8"/>
    <w:rsid w:val="1AD26086"/>
    <w:rsid w:val="1AD86198"/>
    <w:rsid w:val="1ADD5ACE"/>
    <w:rsid w:val="1AE013F8"/>
    <w:rsid w:val="1AE8570C"/>
    <w:rsid w:val="1AF7297B"/>
    <w:rsid w:val="1AF97DCC"/>
    <w:rsid w:val="1AFB06A3"/>
    <w:rsid w:val="1B062896"/>
    <w:rsid w:val="1B0A0A03"/>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D02ED8"/>
    <w:rsid w:val="1BE32C74"/>
    <w:rsid w:val="1BF46563"/>
    <w:rsid w:val="1BFB481C"/>
    <w:rsid w:val="1BFE5FF9"/>
    <w:rsid w:val="1BFE7B2D"/>
    <w:rsid w:val="1C013494"/>
    <w:rsid w:val="1C053414"/>
    <w:rsid w:val="1C132CB9"/>
    <w:rsid w:val="1C1642A1"/>
    <w:rsid w:val="1C1E32CC"/>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DB018C"/>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21AEE"/>
    <w:rsid w:val="1DD34749"/>
    <w:rsid w:val="1DDD201B"/>
    <w:rsid w:val="1DE94164"/>
    <w:rsid w:val="1DEE1B11"/>
    <w:rsid w:val="1E105A20"/>
    <w:rsid w:val="1E164B52"/>
    <w:rsid w:val="1E26583C"/>
    <w:rsid w:val="1E273844"/>
    <w:rsid w:val="1E2F243E"/>
    <w:rsid w:val="1E365CA2"/>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92ECA"/>
    <w:rsid w:val="1F0A0088"/>
    <w:rsid w:val="1F0E5D6B"/>
    <w:rsid w:val="1F0F2943"/>
    <w:rsid w:val="1F1420D0"/>
    <w:rsid w:val="1F194C88"/>
    <w:rsid w:val="1F323C57"/>
    <w:rsid w:val="1F343977"/>
    <w:rsid w:val="1F35486A"/>
    <w:rsid w:val="1F3E662A"/>
    <w:rsid w:val="1F4F2219"/>
    <w:rsid w:val="1F614D01"/>
    <w:rsid w:val="1F721405"/>
    <w:rsid w:val="1F935819"/>
    <w:rsid w:val="1FA036A3"/>
    <w:rsid w:val="1FA6556D"/>
    <w:rsid w:val="1FAF2571"/>
    <w:rsid w:val="1FB33036"/>
    <w:rsid w:val="1FBE5DDE"/>
    <w:rsid w:val="1FC55EDA"/>
    <w:rsid w:val="1FC658C9"/>
    <w:rsid w:val="1FCE593C"/>
    <w:rsid w:val="1FE23C7B"/>
    <w:rsid w:val="1FE312AC"/>
    <w:rsid w:val="1FEC5915"/>
    <w:rsid w:val="1FED32EF"/>
    <w:rsid w:val="1FF82884"/>
    <w:rsid w:val="201E6D7C"/>
    <w:rsid w:val="203767D6"/>
    <w:rsid w:val="20446081"/>
    <w:rsid w:val="204852AD"/>
    <w:rsid w:val="204A5E48"/>
    <w:rsid w:val="204A6449"/>
    <w:rsid w:val="204E6676"/>
    <w:rsid w:val="20580C17"/>
    <w:rsid w:val="20595924"/>
    <w:rsid w:val="205A5AA0"/>
    <w:rsid w:val="20773A28"/>
    <w:rsid w:val="208574F4"/>
    <w:rsid w:val="208C4449"/>
    <w:rsid w:val="208F6BAF"/>
    <w:rsid w:val="209414DB"/>
    <w:rsid w:val="20966296"/>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4B6B8E"/>
    <w:rsid w:val="21530058"/>
    <w:rsid w:val="21567D84"/>
    <w:rsid w:val="216608E3"/>
    <w:rsid w:val="21810744"/>
    <w:rsid w:val="218D6EF5"/>
    <w:rsid w:val="2195668B"/>
    <w:rsid w:val="219F69EC"/>
    <w:rsid w:val="21A130EA"/>
    <w:rsid w:val="21AC420B"/>
    <w:rsid w:val="21B405F8"/>
    <w:rsid w:val="21B5366A"/>
    <w:rsid w:val="21C267BF"/>
    <w:rsid w:val="21C67C42"/>
    <w:rsid w:val="21CB6217"/>
    <w:rsid w:val="21CD6BCD"/>
    <w:rsid w:val="21CE6067"/>
    <w:rsid w:val="21CF439A"/>
    <w:rsid w:val="21D824E4"/>
    <w:rsid w:val="21F00127"/>
    <w:rsid w:val="21F7745C"/>
    <w:rsid w:val="22035C75"/>
    <w:rsid w:val="221A39C9"/>
    <w:rsid w:val="221D2FA3"/>
    <w:rsid w:val="22231B54"/>
    <w:rsid w:val="2226635F"/>
    <w:rsid w:val="222D4F0B"/>
    <w:rsid w:val="223A29CF"/>
    <w:rsid w:val="223D7545"/>
    <w:rsid w:val="22411D14"/>
    <w:rsid w:val="22423BE1"/>
    <w:rsid w:val="2243381D"/>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97A15"/>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0731AE"/>
    <w:rsid w:val="24197365"/>
    <w:rsid w:val="241B5C62"/>
    <w:rsid w:val="24295025"/>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A628AF"/>
    <w:rsid w:val="24B9450F"/>
    <w:rsid w:val="24C25350"/>
    <w:rsid w:val="24C83F94"/>
    <w:rsid w:val="24D82EE2"/>
    <w:rsid w:val="24F60CDA"/>
    <w:rsid w:val="24FE42EB"/>
    <w:rsid w:val="25090336"/>
    <w:rsid w:val="250D450C"/>
    <w:rsid w:val="25134332"/>
    <w:rsid w:val="25141A5B"/>
    <w:rsid w:val="251A2CC7"/>
    <w:rsid w:val="2521546A"/>
    <w:rsid w:val="252242ED"/>
    <w:rsid w:val="252A2BA6"/>
    <w:rsid w:val="252B49E0"/>
    <w:rsid w:val="252D3CC1"/>
    <w:rsid w:val="254A35DD"/>
    <w:rsid w:val="255D45FE"/>
    <w:rsid w:val="25657E8F"/>
    <w:rsid w:val="25691F8B"/>
    <w:rsid w:val="256E76DE"/>
    <w:rsid w:val="25733F7D"/>
    <w:rsid w:val="25734B61"/>
    <w:rsid w:val="257632D6"/>
    <w:rsid w:val="258004D1"/>
    <w:rsid w:val="25855673"/>
    <w:rsid w:val="258F6BC4"/>
    <w:rsid w:val="2597510C"/>
    <w:rsid w:val="25975923"/>
    <w:rsid w:val="259A3D0A"/>
    <w:rsid w:val="25A95F3E"/>
    <w:rsid w:val="25AA38D2"/>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0D21A5"/>
    <w:rsid w:val="271436A9"/>
    <w:rsid w:val="27204B5D"/>
    <w:rsid w:val="27257DE1"/>
    <w:rsid w:val="272F31A0"/>
    <w:rsid w:val="27310CAC"/>
    <w:rsid w:val="27342901"/>
    <w:rsid w:val="273D2762"/>
    <w:rsid w:val="27470B72"/>
    <w:rsid w:val="27525E32"/>
    <w:rsid w:val="27550750"/>
    <w:rsid w:val="27604751"/>
    <w:rsid w:val="276D111F"/>
    <w:rsid w:val="2778582E"/>
    <w:rsid w:val="27806765"/>
    <w:rsid w:val="27821DE7"/>
    <w:rsid w:val="27832596"/>
    <w:rsid w:val="278C1620"/>
    <w:rsid w:val="27972E83"/>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1EB1"/>
    <w:rsid w:val="27F1498B"/>
    <w:rsid w:val="27F80CA0"/>
    <w:rsid w:val="28021134"/>
    <w:rsid w:val="2802750E"/>
    <w:rsid w:val="28027A71"/>
    <w:rsid w:val="280A12DF"/>
    <w:rsid w:val="28171FD2"/>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18726D"/>
    <w:rsid w:val="2920545D"/>
    <w:rsid w:val="294E766A"/>
    <w:rsid w:val="2952590A"/>
    <w:rsid w:val="295545AF"/>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2D25D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BD1BB5"/>
    <w:rsid w:val="2AC44459"/>
    <w:rsid w:val="2AC70B30"/>
    <w:rsid w:val="2ACC2AAF"/>
    <w:rsid w:val="2AD74744"/>
    <w:rsid w:val="2AD91AC2"/>
    <w:rsid w:val="2AE57C95"/>
    <w:rsid w:val="2AF34B3D"/>
    <w:rsid w:val="2AF35C8B"/>
    <w:rsid w:val="2B03276C"/>
    <w:rsid w:val="2B055F4D"/>
    <w:rsid w:val="2B0C0EEE"/>
    <w:rsid w:val="2B112D02"/>
    <w:rsid w:val="2B116B71"/>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A11C0B"/>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31FCE"/>
    <w:rsid w:val="2CB600FC"/>
    <w:rsid w:val="2CCB6E18"/>
    <w:rsid w:val="2CCF5C52"/>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19011B"/>
    <w:rsid w:val="2E34792A"/>
    <w:rsid w:val="2E376AEB"/>
    <w:rsid w:val="2E437E73"/>
    <w:rsid w:val="2E4A5201"/>
    <w:rsid w:val="2E5034DC"/>
    <w:rsid w:val="2E572AB9"/>
    <w:rsid w:val="2E59712E"/>
    <w:rsid w:val="2E600E38"/>
    <w:rsid w:val="2E7258DC"/>
    <w:rsid w:val="2E7545D2"/>
    <w:rsid w:val="2E79458E"/>
    <w:rsid w:val="2E797A78"/>
    <w:rsid w:val="2E7A5F31"/>
    <w:rsid w:val="2E7C6A94"/>
    <w:rsid w:val="2E8321A5"/>
    <w:rsid w:val="2E8475EF"/>
    <w:rsid w:val="2E8D14A8"/>
    <w:rsid w:val="2E945711"/>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037AB4"/>
    <w:rsid w:val="301742B2"/>
    <w:rsid w:val="301A1509"/>
    <w:rsid w:val="301A71CE"/>
    <w:rsid w:val="301D63DD"/>
    <w:rsid w:val="301E049B"/>
    <w:rsid w:val="302A4BE6"/>
    <w:rsid w:val="304478EC"/>
    <w:rsid w:val="304E2AF2"/>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B6443"/>
    <w:rsid w:val="30FF2795"/>
    <w:rsid w:val="31015E30"/>
    <w:rsid w:val="310375CD"/>
    <w:rsid w:val="310854C5"/>
    <w:rsid w:val="310E6387"/>
    <w:rsid w:val="311611B3"/>
    <w:rsid w:val="311F6A53"/>
    <w:rsid w:val="3138208C"/>
    <w:rsid w:val="313C313D"/>
    <w:rsid w:val="313F6DC6"/>
    <w:rsid w:val="314E236F"/>
    <w:rsid w:val="315C5815"/>
    <w:rsid w:val="315E0B07"/>
    <w:rsid w:val="31621F46"/>
    <w:rsid w:val="316A723C"/>
    <w:rsid w:val="316E7CA0"/>
    <w:rsid w:val="317206BF"/>
    <w:rsid w:val="317932EA"/>
    <w:rsid w:val="317E5000"/>
    <w:rsid w:val="31870868"/>
    <w:rsid w:val="31875BB4"/>
    <w:rsid w:val="31A92721"/>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47AE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883435"/>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55433C"/>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D1D4E"/>
    <w:rsid w:val="350F6258"/>
    <w:rsid w:val="351849C1"/>
    <w:rsid w:val="351A603C"/>
    <w:rsid w:val="351E2B92"/>
    <w:rsid w:val="35227705"/>
    <w:rsid w:val="352821F6"/>
    <w:rsid w:val="3533698A"/>
    <w:rsid w:val="35387F19"/>
    <w:rsid w:val="3539550B"/>
    <w:rsid w:val="353C298A"/>
    <w:rsid w:val="354D5E0E"/>
    <w:rsid w:val="355D10E3"/>
    <w:rsid w:val="356150BC"/>
    <w:rsid w:val="356678B4"/>
    <w:rsid w:val="3573649F"/>
    <w:rsid w:val="357E4B0A"/>
    <w:rsid w:val="35866D7F"/>
    <w:rsid w:val="358F6BDF"/>
    <w:rsid w:val="35A440D7"/>
    <w:rsid w:val="35C06D50"/>
    <w:rsid w:val="35CD6F14"/>
    <w:rsid w:val="35D24294"/>
    <w:rsid w:val="35D71152"/>
    <w:rsid w:val="35DB0628"/>
    <w:rsid w:val="35F325E5"/>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B60AD"/>
    <w:rsid w:val="368F7E4F"/>
    <w:rsid w:val="36985297"/>
    <w:rsid w:val="369F633B"/>
    <w:rsid w:val="36A30FDB"/>
    <w:rsid w:val="36A7007C"/>
    <w:rsid w:val="36AC6F8B"/>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4F25D9"/>
    <w:rsid w:val="37503E6C"/>
    <w:rsid w:val="3758590A"/>
    <w:rsid w:val="375E77B2"/>
    <w:rsid w:val="37602E60"/>
    <w:rsid w:val="37611796"/>
    <w:rsid w:val="37625C1C"/>
    <w:rsid w:val="377519F1"/>
    <w:rsid w:val="377B528D"/>
    <w:rsid w:val="377D206E"/>
    <w:rsid w:val="377D4DA8"/>
    <w:rsid w:val="378229A7"/>
    <w:rsid w:val="3784394E"/>
    <w:rsid w:val="37852032"/>
    <w:rsid w:val="37946975"/>
    <w:rsid w:val="37987437"/>
    <w:rsid w:val="379F33FC"/>
    <w:rsid w:val="37A432E4"/>
    <w:rsid w:val="37A5497F"/>
    <w:rsid w:val="37A86196"/>
    <w:rsid w:val="37C94031"/>
    <w:rsid w:val="37CA042E"/>
    <w:rsid w:val="37CA2635"/>
    <w:rsid w:val="37D44549"/>
    <w:rsid w:val="37D77B09"/>
    <w:rsid w:val="37D931A8"/>
    <w:rsid w:val="37D97EDE"/>
    <w:rsid w:val="37E76E34"/>
    <w:rsid w:val="37EA14D4"/>
    <w:rsid w:val="380632B2"/>
    <w:rsid w:val="380D02B1"/>
    <w:rsid w:val="38190834"/>
    <w:rsid w:val="381C3EB1"/>
    <w:rsid w:val="381E409C"/>
    <w:rsid w:val="382B1BDF"/>
    <w:rsid w:val="382E392C"/>
    <w:rsid w:val="38310B25"/>
    <w:rsid w:val="38325D99"/>
    <w:rsid w:val="38342E90"/>
    <w:rsid w:val="38416174"/>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DA5EC3"/>
    <w:rsid w:val="38E40A5B"/>
    <w:rsid w:val="38E51952"/>
    <w:rsid w:val="38F16A28"/>
    <w:rsid w:val="3913128B"/>
    <w:rsid w:val="391A3359"/>
    <w:rsid w:val="39285D57"/>
    <w:rsid w:val="39315D4D"/>
    <w:rsid w:val="394B6470"/>
    <w:rsid w:val="395C6EA8"/>
    <w:rsid w:val="39752B81"/>
    <w:rsid w:val="39872512"/>
    <w:rsid w:val="39A602F9"/>
    <w:rsid w:val="39AF6354"/>
    <w:rsid w:val="39BD45C8"/>
    <w:rsid w:val="39C2316A"/>
    <w:rsid w:val="39D30B18"/>
    <w:rsid w:val="39F36281"/>
    <w:rsid w:val="39FD376D"/>
    <w:rsid w:val="39FD6C9C"/>
    <w:rsid w:val="39FF6B36"/>
    <w:rsid w:val="3A0224B9"/>
    <w:rsid w:val="3A0526B5"/>
    <w:rsid w:val="3A14011B"/>
    <w:rsid w:val="3A1509F4"/>
    <w:rsid w:val="3A16728B"/>
    <w:rsid w:val="3A16794C"/>
    <w:rsid w:val="3A1F6809"/>
    <w:rsid w:val="3A226969"/>
    <w:rsid w:val="3A331B72"/>
    <w:rsid w:val="3A3A2C04"/>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5D01C0"/>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BF04608"/>
    <w:rsid w:val="3C0429BF"/>
    <w:rsid w:val="3C066389"/>
    <w:rsid w:val="3C094208"/>
    <w:rsid w:val="3C0D66FC"/>
    <w:rsid w:val="3C120C48"/>
    <w:rsid w:val="3C1A201A"/>
    <w:rsid w:val="3C276807"/>
    <w:rsid w:val="3C2D0CA4"/>
    <w:rsid w:val="3C306E2F"/>
    <w:rsid w:val="3C3274E5"/>
    <w:rsid w:val="3C371D4B"/>
    <w:rsid w:val="3C382561"/>
    <w:rsid w:val="3C3B4B9D"/>
    <w:rsid w:val="3C3F772B"/>
    <w:rsid w:val="3C413C82"/>
    <w:rsid w:val="3C471C36"/>
    <w:rsid w:val="3C497A65"/>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B7A72"/>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EF786C"/>
    <w:rsid w:val="3DF130D5"/>
    <w:rsid w:val="3DF95812"/>
    <w:rsid w:val="3E0040D9"/>
    <w:rsid w:val="3E1328D6"/>
    <w:rsid w:val="3E141CCE"/>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A15C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93D52"/>
    <w:rsid w:val="3FBA1D11"/>
    <w:rsid w:val="3FC36557"/>
    <w:rsid w:val="3FC956FF"/>
    <w:rsid w:val="3FD13F50"/>
    <w:rsid w:val="3FDC5F31"/>
    <w:rsid w:val="3FE04625"/>
    <w:rsid w:val="3FE1398F"/>
    <w:rsid w:val="3FE86CE8"/>
    <w:rsid w:val="3FEF3DCD"/>
    <w:rsid w:val="3FF148F7"/>
    <w:rsid w:val="3FFB0F66"/>
    <w:rsid w:val="40022F93"/>
    <w:rsid w:val="400E6DDA"/>
    <w:rsid w:val="40146E6B"/>
    <w:rsid w:val="40225B50"/>
    <w:rsid w:val="403052F1"/>
    <w:rsid w:val="40330D29"/>
    <w:rsid w:val="40422CFC"/>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4D35F5"/>
    <w:rsid w:val="41513BC9"/>
    <w:rsid w:val="416646D7"/>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5B9D"/>
    <w:rsid w:val="43B76E4F"/>
    <w:rsid w:val="43CF0206"/>
    <w:rsid w:val="43D50BA1"/>
    <w:rsid w:val="43D85D6D"/>
    <w:rsid w:val="43EC6F1F"/>
    <w:rsid w:val="43F071E5"/>
    <w:rsid w:val="43F124F2"/>
    <w:rsid w:val="43FE44BA"/>
    <w:rsid w:val="43FE63A7"/>
    <w:rsid w:val="440656C2"/>
    <w:rsid w:val="440D5045"/>
    <w:rsid w:val="440F6C97"/>
    <w:rsid w:val="44300615"/>
    <w:rsid w:val="44371929"/>
    <w:rsid w:val="443740AF"/>
    <w:rsid w:val="44480935"/>
    <w:rsid w:val="444851FA"/>
    <w:rsid w:val="445176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0B0825"/>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004A6"/>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0C"/>
    <w:rsid w:val="45BE6191"/>
    <w:rsid w:val="45BE648C"/>
    <w:rsid w:val="45C661BC"/>
    <w:rsid w:val="45CA082F"/>
    <w:rsid w:val="45CD2126"/>
    <w:rsid w:val="45CF358A"/>
    <w:rsid w:val="45DD738A"/>
    <w:rsid w:val="45DE3218"/>
    <w:rsid w:val="45E372CD"/>
    <w:rsid w:val="45EB6220"/>
    <w:rsid w:val="45FB2D6A"/>
    <w:rsid w:val="460C5979"/>
    <w:rsid w:val="46110AB3"/>
    <w:rsid w:val="46143B66"/>
    <w:rsid w:val="4615371C"/>
    <w:rsid w:val="46214325"/>
    <w:rsid w:val="46223B89"/>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0CFF"/>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EE46BE"/>
    <w:rsid w:val="48FA15CC"/>
    <w:rsid w:val="48FF0DD1"/>
    <w:rsid w:val="490547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BF718C"/>
    <w:rsid w:val="49C32414"/>
    <w:rsid w:val="49C84AA0"/>
    <w:rsid w:val="49CA7400"/>
    <w:rsid w:val="49CC2C0E"/>
    <w:rsid w:val="49D7694D"/>
    <w:rsid w:val="49D87799"/>
    <w:rsid w:val="49F35D81"/>
    <w:rsid w:val="49F400AC"/>
    <w:rsid w:val="49F9104E"/>
    <w:rsid w:val="4A0244D3"/>
    <w:rsid w:val="4A255046"/>
    <w:rsid w:val="4A2E1525"/>
    <w:rsid w:val="4A315640"/>
    <w:rsid w:val="4A5859A3"/>
    <w:rsid w:val="4A5A756D"/>
    <w:rsid w:val="4A706DE2"/>
    <w:rsid w:val="4A722B4C"/>
    <w:rsid w:val="4A785772"/>
    <w:rsid w:val="4A7A7433"/>
    <w:rsid w:val="4A7E3261"/>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0C003F"/>
    <w:rsid w:val="4B174032"/>
    <w:rsid w:val="4B1D7328"/>
    <w:rsid w:val="4B250CF8"/>
    <w:rsid w:val="4B2873FD"/>
    <w:rsid w:val="4B3D4DE9"/>
    <w:rsid w:val="4B544FDD"/>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8746E"/>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B4B37"/>
    <w:rsid w:val="4D3C254D"/>
    <w:rsid w:val="4D4001E4"/>
    <w:rsid w:val="4D462159"/>
    <w:rsid w:val="4D47409F"/>
    <w:rsid w:val="4D525BE3"/>
    <w:rsid w:val="4D566017"/>
    <w:rsid w:val="4D6022FC"/>
    <w:rsid w:val="4D6748C7"/>
    <w:rsid w:val="4D7D3EFB"/>
    <w:rsid w:val="4D883EF9"/>
    <w:rsid w:val="4D8B0123"/>
    <w:rsid w:val="4D907392"/>
    <w:rsid w:val="4D940DD6"/>
    <w:rsid w:val="4DA561AB"/>
    <w:rsid w:val="4DAF14C5"/>
    <w:rsid w:val="4DB9067A"/>
    <w:rsid w:val="4DC605B6"/>
    <w:rsid w:val="4DD51840"/>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C6FF7"/>
    <w:rsid w:val="4E5D49B1"/>
    <w:rsid w:val="4E635567"/>
    <w:rsid w:val="4E674786"/>
    <w:rsid w:val="4E6D0F25"/>
    <w:rsid w:val="4E6F309C"/>
    <w:rsid w:val="4E710F05"/>
    <w:rsid w:val="4E742982"/>
    <w:rsid w:val="4E754F1B"/>
    <w:rsid w:val="4E7F1E8F"/>
    <w:rsid w:val="4E862481"/>
    <w:rsid w:val="4E8C4141"/>
    <w:rsid w:val="4E901714"/>
    <w:rsid w:val="4E93511F"/>
    <w:rsid w:val="4E944F74"/>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17829"/>
    <w:rsid w:val="501502DD"/>
    <w:rsid w:val="501A2172"/>
    <w:rsid w:val="502173F8"/>
    <w:rsid w:val="5022123F"/>
    <w:rsid w:val="502B7315"/>
    <w:rsid w:val="503E570B"/>
    <w:rsid w:val="503F32CF"/>
    <w:rsid w:val="503F62FD"/>
    <w:rsid w:val="5041152A"/>
    <w:rsid w:val="504A1A7A"/>
    <w:rsid w:val="504C77D2"/>
    <w:rsid w:val="50560460"/>
    <w:rsid w:val="505D11A3"/>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10FA1"/>
    <w:rsid w:val="515400FF"/>
    <w:rsid w:val="515441FE"/>
    <w:rsid w:val="515D735D"/>
    <w:rsid w:val="5161556E"/>
    <w:rsid w:val="51631E12"/>
    <w:rsid w:val="516516D5"/>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2E2CD6"/>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504048"/>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36DAB"/>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5F61F1C"/>
    <w:rsid w:val="560C022B"/>
    <w:rsid w:val="560D5F48"/>
    <w:rsid w:val="56106284"/>
    <w:rsid w:val="56182852"/>
    <w:rsid w:val="5632642A"/>
    <w:rsid w:val="56375B61"/>
    <w:rsid w:val="564944F4"/>
    <w:rsid w:val="564E5820"/>
    <w:rsid w:val="565104C5"/>
    <w:rsid w:val="56630C00"/>
    <w:rsid w:val="56721038"/>
    <w:rsid w:val="56737DF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41FA4"/>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14720"/>
    <w:rsid w:val="57FC07D9"/>
    <w:rsid w:val="57FF6992"/>
    <w:rsid w:val="58036FF1"/>
    <w:rsid w:val="580F1B21"/>
    <w:rsid w:val="581B7E79"/>
    <w:rsid w:val="5837438C"/>
    <w:rsid w:val="58420FA1"/>
    <w:rsid w:val="58500F22"/>
    <w:rsid w:val="585809EC"/>
    <w:rsid w:val="58587379"/>
    <w:rsid w:val="585D72B5"/>
    <w:rsid w:val="586D57A3"/>
    <w:rsid w:val="587917A0"/>
    <w:rsid w:val="587A4288"/>
    <w:rsid w:val="5880052B"/>
    <w:rsid w:val="588E3967"/>
    <w:rsid w:val="5899112E"/>
    <w:rsid w:val="589E7444"/>
    <w:rsid w:val="58AD27D9"/>
    <w:rsid w:val="58B169A2"/>
    <w:rsid w:val="58B9636C"/>
    <w:rsid w:val="58C37133"/>
    <w:rsid w:val="58C93046"/>
    <w:rsid w:val="58D36BCB"/>
    <w:rsid w:val="58D8157C"/>
    <w:rsid w:val="58E11166"/>
    <w:rsid w:val="58E6349C"/>
    <w:rsid w:val="58E83DEC"/>
    <w:rsid w:val="58EF63EE"/>
    <w:rsid w:val="590317F0"/>
    <w:rsid w:val="59075000"/>
    <w:rsid w:val="5910664F"/>
    <w:rsid w:val="593559FD"/>
    <w:rsid w:val="593A45DB"/>
    <w:rsid w:val="594079B2"/>
    <w:rsid w:val="595B45EE"/>
    <w:rsid w:val="596A688E"/>
    <w:rsid w:val="59860400"/>
    <w:rsid w:val="5987482A"/>
    <w:rsid w:val="598A58C2"/>
    <w:rsid w:val="598C6F19"/>
    <w:rsid w:val="599C49A8"/>
    <w:rsid w:val="59A252D5"/>
    <w:rsid w:val="59A36725"/>
    <w:rsid w:val="59AD4E2E"/>
    <w:rsid w:val="59B14918"/>
    <w:rsid w:val="59B21BF9"/>
    <w:rsid w:val="59B45AB9"/>
    <w:rsid w:val="59B80C41"/>
    <w:rsid w:val="59BB4EA3"/>
    <w:rsid w:val="59C02FE0"/>
    <w:rsid w:val="59D02B0C"/>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46518"/>
    <w:rsid w:val="5A953D41"/>
    <w:rsid w:val="5AA12940"/>
    <w:rsid w:val="5AA75D85"/>
    <w:rsid w:val="5ABC50F4"/>
    <w:rsid w:val="5ACC4940"/>
    <w:rsid w:val="5ACD3CD2"/>
    <w:rsid w:val="5AD7333E"/>
    <w:rsid w:val="5AD838D3"/>
    <w:rsid w:val="5AD86A6D"/>
    <w:rsid w:val="5ADF4325"/>
    <w:rsid w:val="5AE8708E"/>
    <w:rsid w:val="5AEC14F6"/>
    <w:rsid w:val="5AF124A4"/>
    <w:rsid w:val="5B0A4D6B"/>
    <w:rsid w:val="5B141085"/>
    <w:rsid w:val="5B28192B"/>
    <w:rsid w:val="5B342BAD"/>
    <w:rsid w:val="5B392581"/>
    <w:rsid w:val="5B4007EF"/>
    <w:rsid w:val="5B4D1F7C"/>
    <w:rsid w:val="5B51561D"/>
    <w:rsid w:val="5B52164D"/>
    <w:rsid w:val="5B570E24"/>
    <w:rsid w:val="5B607711"/>
    <w:rsid w:val="5B637E94"/>
    <w:rsid w:val="5B66707B"/>
    <w:rsid w:val="5B673066"/>
    <w:rsid w:val="5B6A48A8"/>
    <w:rsid w:val="5B70610D"/>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8681A"/>
    <w:rsid w:val="5C097C4E"/>
    <w:rsid w:val="5C1A3A93"/>
    <w:rsid w:val="5C235386"/>
    <w:rsid w:val="5C2A4E9F"/>
    <w:rsid w:val="5C37782E"/>
    <w:rsid w:val="5C3B6CFC"/>
    <w:rsid w:val="5C452D08"/>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022B4"/>
    <w:rsid w:val="5E237029"/>
    <w:rsid w:val="5E2E6243"/>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6E656C"/>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4A544A"/>
    <w:rsid w:val="625272C3"/>
    <w:rsid w:val="626D0F69"/>
    <w:rsid w:val="62715337"/>
    <w:rsid w:val="6280204D"/>
    <w:rsid w:val="6290769B"/>
    <w:rsid w:val="62943D08"/>
    <w:rsid w:val="629718F1"/>
    <w:rsid w:val="62995E6F"/>
    <w:rsid w:val="62A05735"/>
    <w:rsid w:val="62A411F8"/>
    <w:rsid w:val="62A81A26"/>
    <w:rsid w:val="62B0109F"/>
    <w:rsid w:val="62BA7A46"/>
    <w:rsid w:val="62C376AC"/>
    <w:rsid w:val="62CE13CB"/>
    <w:rsid w:val="62D2197B"/>
    <w:rsid w:val="62DB028F"/>
    <w:rsid w:val="62EE4623"/>
    <w:rsid w:val="62F214BD"/>
    <w:rsid w:val="62F6011A"/>
    <w:rsid w:val="62FD2BA9"/>
    <w:rsid w:val="63064FB6"/>
    <w:rsid w:val="6327422B"/>
    <w:rsid w:val="6328597C"/>
    <w:rsid w:val="633B249F"/>
    <w:rsid w:val="633D1842"/>
    <w:rsid w:val="635123F0"/>
    <w:rsid w:val="63552D76"/>
    <w:rsid w:val="6359778B"/>
    <w:rsid w:val="635B63E3"/>
    <w:rsid w:val="63677698"/>
    <w:rsid w:val="636C452A"/>
    <w:rsid w:val="63771D13"/>
    <w:rsid w:val="638C3395"/>
    <w:rsid w:val="63B37325"/>
    <w:rsid w:val="63B82D87"/>
    <w:rsid w:val="63BA3154"/>
    <w:rsid w:val="63CA2E8B"/>
    <w:rsid w:val="63CF097D"/>
    <w:rsid w:val="63CF736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CC4C22"/>
    <w:rsid w:val="65D23D59"/>
    <w:rsid w:val="65D4773F"/>
    <w:rsid w:val="65DC5939"/>
    <w:rsid w:val="65DC7985"/>
    <w:rsid w:val="65E41A1C"/>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01AF"/>
    <w:rsid w:val="667C7AEC"/>
    <w:rsid w:val="667F71BA"/>
    <w:rsid w:val="66863A0F"/>
    <w:rsid w:val="66984358"/>
    <w:rsid w:val="669B7C76"/>
    <w:rsid w:val="66A200F8"/>
    <w:rsid w:val="66A205F5"/>
    <w:rsid w:val="66A30EC2"/>
    <w:rsid w:val="66AA4BA8"/>
    <w:rsid w:val="66C56058"/>
    <w:rsid w:val="66C955BD"/>
    <w:rsid w:val="66CF3182"/>
    <w:rsid w:val="66D97420"/>
    <w:rsid w:val="66DC059A"/>
    <w:rsid w:val="66DC317D"/>
    <w:rsid w:val="66DD5461"/>
    <w:rsid w:val="66E10E78"/>
    <w:rsid w:val="66E617C5"/>
    <w:rsid w:val="66E910C9"/>
    <w:rsid w:val="66EC422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2A4993"/>
    <w:rsid w:val="68445430"/>
    <w:rsid w:val="685B0620"/>
    <w:rsid w:val="685C6395"/>
    <w:rsid w:val="686318DD"/>
    <w:rsid w:val="68635145"/>
    <w:rsid w:val="686D19A4"/>
    <w:rsid w:val="687914A4"/>
    <w:rsid w:val="687A2E65"/>
    <w:rsid w:val="687F607E"/>
    <w:rsid w:val="6887281F"/>
    <w:rsid w:val="688B4E92"/>
    <w:rsid w:val="689565AD"/>
    <w:rsid w:val="689A41FB"/>
    <w:rsid w:val="689E57F0"/>
    <w:rsid w:val="68A34C5C"/>
    <w:rsid w:val="68C93BC5"/>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D31B2E"/>
    <w:rsid w:val="69EB1E1E"/>
    <w:rsid w:val="69F0745A"/>
    <w:rsid w:val="6A0D20F2"/>
    <w:rsid w:val="6A1757B7"/>
    <w:rsid w:val="6A1A2066"/>
    <w:rsid w:val="6A1D59EC"/>
    <w:rsid w:val="6A247F72"/>
    <w:rsid w:val="6A286809"/>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7D43FA"/>
    <w:rsid w:val="6B8642C7"/>
    <w:rsid w:val="6B874340"/>
    <w:rsid w:val="6B884219"/>
    <w:rsid w:val="6B90781F"/>
    <w:rsid w:val="6BA6663C"/>
    <w:rsid w:val="6BA9194F"/>
    <w:rsid w:val="6BAF473A"/>
    <w:rsid w:val="6BB07973"/>
    <w:rsid w:val="6BCA7437"/>
    <w:rsid w:val="6BE727F5"/>
    <w:rsid w:val="6C001608"/>
    <w:rsid w:val="6C08064C"/>
    <w:rsid w:val="6C0858B3"/>
    <w:rsid w:val="6C132D21"/>
    <w:rsid w:val="6C240DF3"/>
    <w:rsid w:val="6C45610F"/>
    <w:rsid w:val="6C546992"/>
    <w:rsid w:val="6C59472D"/>
    <w:rsid w:val="6C5A4564"/>
    <w:rsid w:val="6C5E2B25"/>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7F5384"/>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E218A"/>
    <w:rsid w:val="6EB169D3"/>
    <w:rsid w:val="6EB21539"/>
    <w:rsid w:val="6EB829B1"/>
    <w:rsid w:val="6EB978A9"/>
    <w:rsid w:val="6ECC3A24"/>
    <w:rsid w:val="6ED86D3E"/>
    <w:rsid w:val="6EE9744F"/>
    <w:rsid w:val="6EEC3F7C"/>
    <w:rsid w:val="6EF3602C"/>
    <w:rsid w:val="6EFB53B9"/>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1E0E96"/>
    <w:rsid w:val="701F75A2"/>
    <w:rsid w:val="702B6F43"/>
    <w:rsid w:val="7032079E"/>
    <w:rsid w:val="70383665"/>
    <w:rsid w:val="703C186A"/>
    <w:rsid w:val="704C34F0"/>
    <w:rsid w:val="70570007"/>
    <w:rsid w:val="705843B4"/>
    <w:rsid w:val="7058635C"/>
    <w:rsid w:val="70611FB0"/>
    <w:rsid w:val="70655A58"/>
    <w:rsid w:val="706A37E5"/>
    <w:rsid w:val="70822BAD"/>
    <w:rsid w:val="708746BC"/>
    <w:rsid w:val="708A15C0"/>
    <w:rsid w:val="708F7F54"/>
    <w:rsid w:val="70926B0B"/>
    <w:rsid w:val="70926BD4"/>
    <w:rsid w:val="709E3D85"/>
    <w:rsid w:val="70A36A35"/>
    <w:rsid w:val="70A708B1"/>
    <w:rsid w:val="70A97192"/>
    <w:rsid w:val="70AC660B"/>
    <w:rsid w:val="70B17138"/>
    <w:rsid w:val="70BB2EF0"/>
    <w:rsid w:val="70BC2801"/>
    <w:rsid w:val="70C6646C"/>
    <w:rsid w:val="70D82DC7"/>
    <w:rsid w:val="70E34792"/>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EB0D10"/>
    <w:rsid w:val="71F64A63"/>
    <w:rsid w:val="71F870B8"/>
    <w:rsid w:val="72021233"/>
    <w:rsid w:val="720B2A1D"/>
    <w:rsid w:val="72197AB8"/>
    <w:rsid w:val="72242D83"/>
    <w:rsid w:val="72502F9F"/>
    <w:rsid w:val="7251515C"/>
    <w:rsid w:val="725817D3"/>
    <w:rsid w:val="726E6AD4"/>
    <w:rsid w:val="727C422C"/>
    <w:rsid w:val="7288329F"/>
    <w:rsid w:val="728D72D4"/>
    <w:rsid w:val="728E71EE"/>
    <w:rsid w:val="729121AF"/>
    <w:rsid w:val="7292045A"/>
    <w:rsid w:val="72974DBE"/>
    <w:rsid w:val="72983FF8"/>
    <w:rsid w:val="72985E1E"/>
    <w:rsid w:val="72A20C20"/>
    <w:rsid w:val="72AC5E95"/>
    <w:rsid w:val="72B57AED"/>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45810"/>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CC250C"/>
    <w:rsid w:val="73CF4D8D"/>
    <w:rsid w:val="73E406FD"/>
    <w:rsid w:val="73E436B8"/>
    <w:rsid w:val="73E52294"/>
    <w:rsid w:val="73EC5464"/>
    <w:rsid w:val="73F50355"/>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22AD"/>
    <w:rsid w:val="744B354F"/>
    <w:rsid w:val="7450294E"/>
    <w:rsid w:val="7450574F"/>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7D0536"/>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1189D"/>
    <w:rsid w:val="77240552"/>
    <w:rsid w:val="77272CAB"/>
    <w:rsid w:val="772B4341"/>
    <w:rsid w:val="77451578"/>
    <w:rsid w:val="774963F2"/>
    <w:rsid w:val="77576666"/>
    <w:rsid w:val="77636E18"/>
    <w:rsid w:val="776564EF"/>
    <w:rsid w:val="776709A1"/>
    <w:rsid w:val="77674898"/>
    <w:rsid w:val="7768296F"/>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B568B"/>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CF6283"/>
    <w:rsid w:val="78D74444"/>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846671"/>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50F30"/>
    <w:rsid w:val="7A4B3D21"/>
    <w:rsid w:val="7A4C2D60"/>
    <w:rsid w:val="7A56511A"/>
    <w:rsid w:val="7A59726F"/>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07B7F"/>
    <w:rsid w:val="7BAA485C"/>
    <w:rsid w:val="7BAD1591"/>
    <w:rsid w:val="7BCD64C2"/>
    <w:rsid w:val="7BD3716B"/>
    <w:rsid w:val="7BE42529"/>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A3A10"/>
    <w:rsid w:val="7CDE3831"/>
    <w:rsid w:val="7CE656F0"/>
    <w:rsid w:val="7CED34FF"/>
    <w:rsid w:val="7CEE5458"/>
    <w:rsid w:val="7CF26588"/>
    <w:rsid w:val="7CF565D7"/>
    <w:rsid w:val="7CF7605D"/>
    <w:rsid w:val="7CF867A7"/>
    <w:rsid w:val="7CFA3A46"/>
    <w:rsid w:val="7CFC78A1"/>
    <w:rsid w:val="7D0F5720"/>
    <w:rsid w:val="7D180A74"/>
    <w:rsid w:val="7D24652E"/>
    <w:rsid w:val="7D2561FD"/>
    <w:rsid w:val="7D2E198F"/>
    <w:rsid w:val="7D342E03"/>
    <w:rsid w:val="7D3B3737"/>
    <w:rsid w:val="7D3D73AF"/>
    <w:rsid w:val="7D3F6E5D"/>
    <w:rsid w:val="7D5052A6"/>
    <w:rsid w:val="7D514310"/>
    <w:rsid w:val="7D5B27C9"/>
    <w:rsid w:val="7D62117D"/>
    <w:rsid w:val="7D6B7F02"/>
    <w:rsid w:val="7D6F5CEF"/>
    <w:rsid w:val="7D746385"/>
    <w:rsid w:val="7D834A16"/>
    <w:rsid w:val="7D931E10"/>
    <w:rsid w:val="7D9D0A97"/>
    <w:rsid w:val="7D9D1E8D"/>
    <w:rsid w:val="7D9D438F"/>
    <w:rsid w:val="7DA514D2"/>
    <w:rsid w:val="7DAE6BE3"/>
    <w:rsid w:val="7DC11C5D"/>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C41BD"/>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717E9"/>
    <w:rsid w:val="7F6A77AB"/>
    <w:rsid w:val="7F6B2248"/>
    <w:rsid w:val="7F725E7C"/>
    <w:rsid w:val="7F761ADC"/>
    <w:rsid w:val="7F7D7A8E"/>
    <w:rsid w:val="7F872588"/>
    <w:rsid w:val="7F8725BA"/>
    <w:rsid w:val="7F8C6A8F"/>
    <w:rsid w:val="7F994DB5"/>
    <w:rsid w:val="7F9C175D"/>
    <w:rsid w:val="7F9E0670"/>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2024-11-08T08:46:15Z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EAF8F6C2588B4568962C23E86F638826</vt:lpwstr>
  </property>
</Properties>
</file>